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D5C89">
      <w:pPr>
        <w:widowControl/>
        <w:jc w:val="center"/>
        <w:rPr>
          <w:rFonts w:hint="eastAsia" w:ascii="黑体" w:hAnsi="黑体" w:eastAsia="黑体" w:cs="黑体"/>
          <w:b/>
          <w:bCs/>
          <w:sz w:val="52"/>
          <w:szCs w:val="52"/>
          <w:highlight w:val="none"/>
          <w:lang w:val="zh-CN"/>
        </w:rPr>
      </w:pPr>
      <w:r>
        <w:rPr>
          <w:rFonts w:hint="eastAsia" w:ascii="黑体" w:hAnsi="黑体" w:eastAsia="黑体" w:cs="黑体"/>
          <w:b/>
          <w:bCs/>
          <w:sz w:val="52"/>
          <w:szCs w:val="52"/>
          <w:highlight w:val="none"/>
          <w:lang w:val="en-US" w:eastAsia="zh-CN"/>
        </w:rPr>
        <w:t>四平市城市商品房预售管理办法</w:t>
      </w:r>
    </w:p>
    <w:p w14:paraId="07345164">
      <w:pPr>
        <w:widowControl/>
        <w:jc w:val="center"/>
        <w:rPr>
          <w:rFonts w:hint="eastAsia" w:ascii="黑体" w:hAnsi="黑体" w:eastAsia="黑体" w:cs="黑体"/>
          <w:b/>
          <w:bCs/>
          <w:sz w:val="32"/>
          <w:szCs w:val="32"/>
          <w:highlight w:val="none"/>
          <w:lang w:val="zh-CN" w:eastAsia="zh-CN"/>
        </w:rPr>
      </w:pPr>
      <w:r>
        <w:rPr>
          <w:rFonts w:hint="eastAsia" w:ascii="黑体" w:hAnsi="黑体" w:eastAsia="黑体" w:cs="黑体"/>
          <w:b/>
          <w:bCs/>
          <w:sz w:val="32"/>
          <w:szCs w:val="32"/>
          <w:highlight w:val="none"/>
          <w:lang w:val="zh-CN"/>
        </w:rPr>
        <w:t>（</w:t>
      </w:r>
      <w:r>
        <w:rPr>
          <w:rFonts w:hint="eastAsia" w:ascii="黑体" w:hAnsi="黑体" w:eastAsia="黑体" w:cs="黑体"/>
          <w:b/>
          <w:bCs/>
          <w:sz w:val="32"/>
          <w:szCs w:val="32"/>
          <w:highlight w:val="none"/>
          <w:lang w:val="en-US" w:eastAsia="zh-CN"/>
        </w:rPr>
        <w:t>征求意见稿</w:t>
      </w:r>
      <w:r>
        <w:rPr>
          <w:rFonts w:hint="eastAsia" w:ascii="黑体" w:hAnsi="黑体" w:eastAsia="黑体" w:cs="黑体"/>
          <w:b/>
          <w:bCs/>
          <w:sz w:val="32"/>
          <w:szCs w:val="32"/>
          <w:highlight w:val="none"/>
          <w:lang w:val="zh-CN"/>
        </w:rPr>
        <w:t>）</w:t>
      </w:r>
    </w:p>
    <w:p w14:paraId="495F5C3D">
      <w:pPr>
        <w:pStyle w:val="2"/>
        <w:keepNext w:val="0"/>
        <w:keepLines w:val="0"/>
        <w:widowControl/>
        <w:numPr>
          <w:ilvl w:val="0"/>
          <w:numId w:val="1"/>
        </w:numPr>
        <w:suppressLineNumbers w:val="0"/>
        <w:shd w:val="clear" w:fill="FFFFFF"/>
        <w:spacing w:line="270" w:lineRule="atLeast"/>
        <w:jc w:val="center"/>
        <w:rPr>
          <w:rFonts w:hint="eastAsia" w:ascii="黑体" w:hAnsi="黑体" w:eastAsia="黑体" w:cs="黑体"/>
          <w:b/>
          <w:bCs/>
          <w:kern w:val="2"/>
          <w:sz w:val="44"/>
          <w:szCs w:val="44"/>
          <w:highlight w:val="none"/>
          <w:lang w:val="zh-CN" w:eastAsia="zh-CN" w:bidi="ar-SA"/>
        </w:rPr>
      </w:pPr>
      <w:r>
        <w:rPr>
          <w:rFonts w:hint="eastAsia" w:ascii="黑体" w:hAnsi="黑体" w:eastAsia="黑体" w:cs="黑体"/>
          <w:b/>
          <w:bCs/>
          <w:kern w:val="2"/>
          <w:sz w:val="44"/>
          <w:szCs w:val="44"/>
          <w:highlight w:val="none"/>
          <w:lang w:val="en-US" w:eastAsia="zh-CN" w:bidi="ar-SA"/>
        </w:rPr>
        <w:t xml:space="preserve"> </w:t>
      </w:r>
      <w:r>
        <w:rPr>
          <w:rFonts w:hint="eastAsia" w:ascii="黑体" w:hAnsi="黑体" w:eastAsia="黑体" w:cs="黑体"/>
          <w:b/>
          <w:bCs/>
          <w:kern w:val="2"/>
          <w:sz w:val="44"/>
          <w:szCs w:val="44"/>
          <w:highlight w:val="none"/>
          <w:lang w:val="zh-CN" w:eastAsia="zh-CN" w:bidi="ar-SA"/>
        </w:rPr>
        <w:t>总则</w:t>
      </w:r>
      <w:bookmarkStart w:id="0" w:name="_GoBack"/>
      <w:bookmarkEnd w:id="0"/>
    </w:p>
    <w:p w14:paraId="48EAAF4B">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kern w:val="2"/>
          <w:sz w:val="32"/>
          <w:szCs w:val="32"/>
          <w:highlight w:val="none"/>
          <w:lang w:val="zh-CN" w:eastAsia="zh-CN" w:bidi="ar-SA"/>
        </w:rPr>
        <w:t>第一条</w:t>
      </w:r>
      <w:r>
        <w:rPr>
          <w:rFonts w:hint="eastAsia" w:ascii="黑体" w:hAnsi="黑体" w:eastAsia="黑体" w:cs="黑体"/>
          <w:kern w:val="2"/>
          <w:sz w:val="32"/>
          <w:szCs w:val="32"/>
          <w:highlight w:val="none"/>
          <w:lang w:val="en-US" w:eastAsia="zh-CN" w:bidi="ar-SA"/>
        </w:rPr>
        <w:t xml:space="preserve">  </w:t>
      </w:r>
      <w:r>
        <w:rPr>
          <w:rFonts w:hint="eastAsia" w:ascii="仿宋" w:hAnsi="仿宋" w:eastAsia="仿宋" w:cs="仿宋"/>
          <w:sz w:val="30"/>
          <w:szCs w:val="30"/>
          <w:highlight w:val="none"/>
          <w:lang w:val="zh-CN" w:eastAsia="zh-CN"/>
        </w:rPr>
        <w:t>为加强我市城市商品房预售管理，切实保障当事⼈合法权益，促进我市房地产市场平稳健康发展，根据《中华</w:t>
      </w:r>
      <w:r>
        <w:rPr>
          <w:rFonts w:hint="eastAsia" w:ascii="仿宋" w:hAnsi="仿宋" w:eastAsia="仿宋" w:cs="仿宋"/>
          <w:sz w:val="30"/>
          <w:szCs w:val="30"/>
          <w:highlight w:val="none"/>
          <w:lang w:val="en-US" w:eastAsia="zh-CN"/>
        </w:rPr>
        <w:t>人民</w:t>
      </w:r>
      <w:r>
        <w:rPr>
          <w:rFonts w:hint="eastAsia" w:ascii="仿宋" w:hAnsi="仿宋" w:eastAsia="仿宋" w:cs="仿宋"/>
          <w:sz w:val="30"/>
          <w:szCs w:val="30"/>
          <w:highlight w:val="none"/>
          <w:lang w:val="zh-CN" w:eastAsia="zh-CN"/>
        </w:rPr>
        <w:t>共和国城市房地产管理法》《城市房地产开发经营管理条例》《城市商品房预售管理办法》《商品房销售管理办法》</w:t>
      </w:r>
      <w:r>
        <w:rPr>
          <w:rFonts w:hint="eastAsia" w:ascii="仿宋" w:hAnsi="仿宋" w:eastAsia="仿宋" w:cs="仿宋"/>
          <w:sz w:val="30"/>
          <w:szCs w:val="30"/>
          <w:highlight w:val="none"/>
          <w:lang w:val="zh-CN" w:eastAsia="zh-CN"/>
        </w:rPr>
        <w:t xml:space="preserve">《住房和城乡建设部 </w:t>
      </w:r>
      <w:r>
        <w:rPr>
          <w:rFonts w:hint="eastAsia" w:ascii="仿宋" w:hAnsi="仿宋" w:eastAsia="仿宋" w:cs="仿宋"/>
          <w:sz w:val="30"/>
          <w:szCs w:val="30"/>
          <w:highlight w:val="none"/>
          <w:lang w:val="en-US" w:eastAsia="zh-CN"/>
        </w:rPr>
        <w:t>人民银行</w:t>
      </w:r>
      <w:r>
        <w:rPr>
          <w:rFonts w:hint="eastAsia" w:ascii="仿宋" w:hAnsi="仿宋" w:eastAsia="仿宋" w:cs="仿宋"/>
          <w:sz w:val="30"/>
          <w:szCs w:val="30"/>
          <w:highlight w:val="none"/>
          <w:lang w:val="zh-CN" w:eastAsia="zh-CN"/>
        </w:rPr>
        <w:t xml:space="preserve"> 银保监会关于规范商品房预售资</w:t>
      </w:r>
      <w:r>
        <w:rPr>
          <w:rFonts w:hint="eastAsia" w:ascii="仿宋" w:hAnsi="仿宋" w:eastAsia="仿宋" w:cs="仿宋"/>
          <w:sz w:val="30"/>
          <w:szCs w:val="30"/>
          <w:highlight w:val="none"/>
          <w:lang w:val="en-US" w:eastAsia="zh-CN"/>
        </w:rPr>
        <w:t>金</w:t>
      </w:r>
      <w:r>
        <w:rPr>
          <w:rFonts w:hint="eastAsia" w:ascii="仿宋" w:hAnsi="仿宋" w:eastAsia="仿宋" w:cs="仿宋"/>
          <w:sz w:val="30"/>
          <w:szCs w:val="30"/>
          <w:highlight w:val="none"/>
          <w:lang w:val="zh-CN" w:eastAsia="zh-CN"/>
        </w:rPr>
        <w:t>监管的</w:t>
      </w:r>
      <w:r>
        <w:rPr>
          <w:rFonts w:hint="eastAsia" w:ascii="仿宋" w:hAnsi="仿宋" w:eastAsia="仿宋" w:cs="仿宋"/>
          <w:sz w:val="30"/>
          <w:szCs w:val="30"/>
          <w:highlight w:val="none"/>
          <w:lang w:val="en-US" w:eastAsia="zh-CN"/>
        </w:rPr>
        <w:t>意见</w:t>
      </w:r>
      <w:r>
        <w:rPr>
          <w:rFonts w:hint="eastAsia" w:ascii="仿宋" w:hAnsi="仿宋" w:eastAsia="仿宋" w:cs="仿宋"/>
          <w:sz w:val="30"/>
          <w:szCs w:val="30"/>
          <w:highlight w:val="none"/>
          <w:lang w:val="zh-CN" w:eastAsia="zh-CN"/>
        </w:rPr>
        <w:t>》《房屋交易与产权管理</w:t>
      </w:r>
      <w:r>
        <w:rPr>
          <w:rFonts w:hint="eastAsia" w:ascii="仿宋" w:hAnsi="仿宋" w:eastAsia="仿宋" w:cs="仿宋"/>
          <w:sz w:val="30"/>
          <w:szCs w:val="30"/>
          <w:highlight w:val="none"/>
          <w:lang w:val="en-US" w:eastAsia="zh-CN"/>
        </w:rPr>
        <w:t>工作</w:t>
      </w:r>
      <w:r>
        <w:rPr>
          <w:rFonts w:hint="eastAsia" w:ascii="仿宋" w:hAnsi="仿宋" w:eastAsia="仿宋" w:cs="仿宋"/>
          <w:sz w:val="30"/>
          <w:szCs w:val="30"/>
          <w:highlight w:val="none"/>
          <w:lang w:val="zh-CN" w:eastAsia="zh-CN"/>
        </w:rPr>
        <w:t>导则》</w:t>
      </w:r>
      <w:r>
        <w:rPr>
          <w:rFonts w:hint="eastAsia" w:ascii="仿宋" w:hAnsi="仿宋" w:eastAsia="仿宋" w:cs="仿宋"/>
          <w:sz w:val="30"/>
          <w:szCs w:val="30"/>
          <w:highlight w:val="none"/>
          <w:lang w:val="zh-CN" w:eastAsia="zh-CN"/>
        </w:rPr>
        <w:t>及其他有关规定，结合我市实际，制定本办法。</w:t>
      </w:r>
    </w:p>
    <w:p w14:paraId="3A0A180E">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kern w:val="2"/>
          <w:sz w:val="32"/>
          <w:szCs w:val="32"/>
          <w:highlight w:val="none"/>
          <w:lang w:val="zh-CN" w:eastAsia="zh-CN" w:bidi="ar-SA"/>
        </w:rPr>
        <w:t>第二条</w:t>
      </w:r>
      <w:r>
        <w:rPr>
          <w:rFonts w:hint="eastAsia" w:ascii="黑体" w:hAnsi="黑体" w:eastAsia="黑体" w:cs="黑体"/>
          <w:kern w:val="2"/>
          <w:sz w:val="32"/>
          <w:szCs w:val="32"/>
          <w:highlight w:val="none"/>
          <w:lang w:val="en-US" w:eastAsia="zh-CN" w:bidi="ar-SA"/>
        </w:rPr>
        <w:t xml:space="preserve">  </w:t>
      </w:r>
      <w:r>
        <w:rPr>
          <w:rFonts w:hint="eastAsia" w:ascii="仿宋" w:hAnsi="仿宋" w:eastAsia="仿宋" w:cs="仿宋"/>
          <w:sz w:val="30"/>
          <w:szCs w:val="30"/>
          <w:highlight w:val="none"/>
          <w:lang w:val="zh-CN" w:eastAsia="zh-CN"/>
        </w:rPr>
        <w:t>本办法所称商品房是指由房地产开发企业（以下简称“开发企业”）在城市、县城、镇规划区范围内依法取得国有</w:t>
      </w:r>
      <w:r>
        <w:rPr>
          <w:rFonts w:hint="eastAsia" w:ascii="仿宋" w:hAnsi="仿宋" w:eastAsia="仿宋" w:cs="仿宋"/>
          <w:sz w:val="30"/>
          <w:szCs w:val="30"/>
          <w:highlight w:val="none"/>
          <w:lang w:val="en-US" w:eastAsia="zh-CN"/>
        </w:rPr>
        <w:t>土地使用权</w:t>
      </w:r>
      <w:r>
        <w:rPr>
          <w:rFonts w:hint="eastAsia" w:ascii="仿宋" w:hAnsi="仿宋" w:eastAsia="仿宋" w:cs="仿宋"/>
          <w:sz w:val="30"/>
          <w:szCs w:val="30"/>
          <w:highlight w:val="none"/>
          <w:lang w:val="zh-CN" w:eastAsia="zh-CN"/>
        </w:rPr>
        <w:t>的</w:t>
      </w:r>
      <w:r>
        <w:rPr>
          <w:rFonts w:hint="eastAsia" w:ascii="仿宋" w:hAnsi="仿宋" w:eastAsia="仿宋" w:cs="仿宋"/>
          <w:sz w:val="30"/>
          <w:szCs w:val="30"/>
          <w:highlight w:val="none"/>
          <w:lang w:val="en-US" w:eastAsia="zh-CN"/>
        </w:rPr>
        <w:t>土</w:t>
      </w:r>
      <w:r>
        <w:rPr>
          <w:rFonts w:hint="eastAsia" w:ascii="仿宋" w:hAnsi="仿宋" w:eastAsia="仿宋" w:cs="仿宋"/>
          <w:sz w:val="30"/>
          <w:szCs w:val="30"/>
          <w:highlight w:val="none"/>
          <w:lang w:val="zh-CN" w:eastAsia="zh-CN"/>
        </w:rPr>
        <w:t>地上开发建设，向社会公开销售的房屋及其附属设施。</w:t>
      </w:r>
    </w:p>
    <w:p w14:paraId="1A22D7CF">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本办法所称商品房预售是指开发企业依法将正在建设中的商品房预先出售给买受</w:t>
      </w:r>
      <w:r>
        <w:rPr>
          <w:rFonts w:hint="eastAsia" w:ascii="仿宋" w:hAnsi="仿宋" w:eastAsia="仿宋" w:cs="仿宋"/>
          <w:sz w:val="30"/>
          <w:szCs w:val="30"/>
          <w:highlight w:val="none"/>
          <w:lang w:val="en-US" w:eastAsia="zh-CN"/>
        </w:rPr>
        <w:t>人</w:t>
      </w:r>
      <w:r>
        <w:rPr>
          <w:rFonts w:hint="eastAsia" w:ascii="仿宋" w:hAnsi="仿宋" w:eastAsia="仿宋" w:cs="仿宋"/>
          <w:sz w:val="30"/>
          <w:szCs w:val="30"/>
          <w:highlight w:val="none"/>
          <w:lang w:val="zh-CN" w:eastAsia="zh-CN"/>
        </w:rPr>
        <w:t>，由买受</w:t>
      </w:r>
      <w:r>
        <w:rPr>
          <w:rFonts w:hint="eastAsia" w:ascii="仿宋" w:hAnsi="仿宋" w:eastAsia="仿宋" w:cs="仿宋"/>
          <w:sz w:val="30"/>
          <w:szCs w:val="30"/>
          <w:highlight w:val="none"/>
          <w:lang w:val="en-US" w:eastAsia="zh-CN"/>
        </w:rPr>
        <w:t>人支付定金</w:t>
      </w:r>
      <w:r>
        <w:rPr>
          <w:rFonts w:hint="eastAsia" w:ascii="仿宋" w:hAnsi="仿宋" w:eastAsia="仿宋" w:cs="仿宋"/>
          <w:sz w:val="30"/>
          <w:szCs w:val="30"/>
          <w:highlight w:val="none"/>
          <w:lang w:val="zh-CN" w:eastAsia="zh-CN"/>
        </w:rPr>
        <w:t>或预付房价款的</w:t>
      </w:r>
      <w:r>
        <w:rPr>
          <w:rFonts w:hint="eastAsia" w:ascii="仿宋" w:hAnsi="仿宋" w:eastAsia="仿宋" w:cs="仿宋"/>
          <w:sz w:val="30"/>
          <w:szCs w:val="30"/>
          <w:highlight w:val="none"/>
          <w:lang w:val="en-US" w:eastAsia="zh-CN"/>
        </w:rPr>
        <w:t>行为。</w:t>
      </w:r>
      <w:r>
        <w:rPr>
          <w:rFonts w:hint="eastAsia" w:ascii="仿宋" w:hAnsi="仿宋" w:eastAsia="仿宋" w:cs="仿宋"/>
          <w:sz w:val="30"/>
          <w:szCs w:val="30"/>
          <w:highlight w:val="none"/>
          <w:lang w:val="zh-CN" w:eastAsia="zh-CN"/>
        </w:rPr>
        <w:t> </w:t>
      </w:r>
    </w:p>
    <w:p w14:paraId="1ED4BF87">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kern w:val="2"/>
          <w:sz w:val="32"/>
          <w:szCs w:val="32"/>
          <w:highlight w:val="none"/>
          <w:lang w:val="zh-CN" w:eastAsia="zh-CN" w:bidi="ar-SA"/>
        </w:rPr>
        <w:t>第三条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本办法适用于城区城市规划区域内的商品房预售及其管理。     </w:t>
      </w:r>
    </w:p>
    <w:p w14:paraId="7E72453F">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kern w:val="2"/>
          <w:sz w:val="32"/>
          <w:szCs w:val="32"/>
          <w:highlight w:val="none"/>
          <w:lang w:val="zh-CN" w:eastAsia="zh-CN" w:bidi="ar-SA"/>
        </w:rPr>
        <w:t>第四条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四平市住房和城乡建设管理部门是本行政区域内商品房预售行政主管部门，其依法委托的商品房预售管理机构具体负责商品房预售管理工作。</w:t>
      </w:r>
    </w:p>
    <w:p w14:paraId="3ADCDE02">
      <w:pPr>
        <w:pStyle w:val="2"/>
        <w:keepNext w:val="0"/>
        <w:keepLines w:val="0"/>
        <w:widowControl/>
        <w:numPr>
          <w:ilvl w:val="0"/>
          <w:numId w:val="1"/>
        </w:numPr>
        <w:suppressLineNumbers w:val="0"/>
        <w:shd w:val="clear" w:fill="FFFFFF"/>
        <w:spacing w:line="270" w:lineRule="atLeast"/>
        <w:jc w:val="center"/>
        <w:rPr>
          <w:rFonts w:hint="eastAsia" w:ascii="仿宋" w:hAnsi="仿宋" w:eastAsia="仿宋" w:cs="仿宋"/>
          <w:sz w:val="30"/>
          <w:szCs w:val="30"/>
          <w:highlight w:val="none"/>
          <w:lang w:val="zh-CN" w:eastAsia="zh-CN"/>
        </w:rPr>
      </w:pPr>
      <w:r>
        <w:rPr>
          <w:rFonts w:hint="eastAsia" w:ascii="黑体" w:hAnsi="黑体" w:eastAsia="黑体" w:cs="黑体"/>
          <w:b/>
          <w:bCs/>
          <w:kern w:val="2"/>
          <w:sz w:val="44"/>
          <w:szCs w:val="44"/>
          <w:highlight w:val="none"/>
          <w:lang w:val="zh-CN" w:eastAsia="zh-CN" w:bidi="ar-SA"/>
        </w:rPr>
        <w:t xml:space="preserve"> 商品房预售项目管理</w:t>
      </w:r>
      <w:r>
        <w:rPr>
          <w:rFonts w:hint="eastAsia" w:ascii="仿宋" w:hAnsi="仿宋" w:eastAsia="仿宋" w:cs="仿宋"/>
          <w:sz w:val="30"/>
          <w:szCs w:val="30"/>
          <w:highlight w:val="none"/>
          <w:lang w:val="zh-CN" w:eastAsia="zh-CN"/>
        </w:rPr>
        <w:t>　</w:t>
      </w:r>
    </w:p>
    <w:p w14:paraId="27C2EED9">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kern w:val="2"/>
          <w:sz w:val="32"/>
          <w:szCs w:val="32"/>
          <w:highlight w:val="none"/>
          <w:lang w:val="zh-CN" w:eastAsia="zh-CN" w:bidi="ar-SA"/>
        </w:rPr>
        <w:t>第五条</w:t>
      </w:r>
      <w:r>
        <w:rPr>
          <w:rFonts w:hint="eastAsia" w:ascii="黑体" w:hAnsi="黑体" w:eastAsia="黑体" w:cs="黑体"/>
          <w:kern w:val="2"/>
          <w:sz w:val="32"/>
          <w:szCs w:val="32"/>
          <w:highlight w:val="none"/>
          <w:lang w:val="en-US" w:eastAsia="zh-CN" w:bidi="ar-SA"/>
        </w:rPr>
        <w:t xml:space="preserve">  </w:t>
      </w:r>
      <w:r>
        <w:rPr>
          <w:rFonts w:hint="eastAsia" w:ascii="仿宋" w:hAnsi="仿宋" w:eastAsia="仿宋" w:cs="仿宋"/>
          <w:sz w:val="30"/>
          <w:szCs w:val="30"/>
          <w:highlight w:val="none"/>
          <w:lang w:val="zh-CN" w:eastAsia="zh-CN"/>
        </w:rPr>
        <w:t>商品房预售应当符合下列条件： 　</w:t>
      </w:r>
    </w:p>
    <w:p w14:paraId="3473C938">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（一）已交付全部土地使用权出让金，取得土地使用权证书；   </w:t>
      </w:r>
    </w:p>
    <w:p w14:paraId="371D9C9B">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（二）持有建设工程规划许可证和施工许可证； </w:t>
      </w:r>
    </w:p>
    <w:p w14:paraId="03058FF5">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（三）按提供预售的商品房计算，投入开发建设的资金达到工程建设总投资的25%以上，</w:t>
      </w:r>
      <w:r>
        <w:rPr>
          <w:rFonts w:hint="eastAsia" w:ascii="仿宋" w:hAnsi="仿宋" w:eastAsia="仿宋" w:cs="仿宋"/>
          <w:sz w:val="30"/>
          <w:szCs w:val="30"/>
          <w:highlight w:val="none"/>
          <w:lang w:val="zh-CN" w:eastAsia="zh-CN"/>
        </w:rPr>
        <w:t>且商品房预售形象进度为:规划建筑总层数的</w:t>
      </w:r>
      <w:r>
        <w:rPr>
          <w:rFonts w:hint="eastAsia" w:ascii="仿宋" w:hAnsi="仿宋" w:eastAsia="仿宋" w:cs="仿宋"/>
          <w:sz w:val="30"/>
          <w:szCs w:val="30"/>
          <w:highlight w:val="none"/>
          <w:lang w:val="en-US" w:eastAsia="zh-CN"/>
        </w:rPr>
        <w:t>25%以上（除地下部分）</w:t>
      </w: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zh-CN" w:eastAsia="zh-CN"/>
        </w:rPr>
        <w:t>并已经确定施工进度和竣工交付日期。 </w:t>
      </w:r>
    </w:p>
    <w:p w14:paraId="0BB0732C">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lang w:val="en-US" w:eastAsia="zh-CN"/>
        </w:rPr>
        <w:t>预售商品房项目所涉及的土地使用权无司法查封、行政限制、他项抵押等，且权属归企业所有</w:t>
      </w:r>
      <w:r>
        <w:rPr>
          <w:rFonts w:hint="eastAsia" w:ascii="仿宋" w:hAnsi="仿宋" w:eastAsia="仿宋" w:cs="仿宋"/>
          <w:sz w:val="30"/>
          <w:szCs w:val="30"/>
          <w:highlight w:val="none"/>
          <w:lang w:val="en-US" w:eastAsia="zh-CN"/>
        </w:rPr>
        <w:t>。</w:t>
      </w:r>
    </w:p>
    <w:p w14:paraId="21409D19">
      <w:pPr>
        <w:widowControl/>
        <w:shd w:val="clear" w:color="auto" w:fill="FFFFFF"/>
        <w:spacing w:line="322" w:lineRule="atLeast"/>
        <w:ind w:firstLine="600" w:firstLineChars="200"/>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（五）已办理前期物业管理备案。</w:t>
      </w:r>
    </w:p>
    <w:p w14:paraId="64BD9E8E">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kern w:val="2"/>
          <w:sz w:val="32"/>
          <w:szCs w:val="32"/>
          <w:highlight w:val="none"/>
          <w:lang w:val="zh-CN" w:eastAsia="zh-CN" w:bidi="ar-SA"/>
        </w:rPr>
        <w:t>第六条</w:t>
      </w:r>
      <w:r>
        <w:rPr>
          <w:rFonts w:hint="eastAsia" w:ascii="黑体" w:hAnsi="黑体" w:eastAsia="黑体" w:cs="黑体"/>
          <w:kern w:val="2"/>
          <w:sz w:val="32"/>
          <w:szCs w:val="32"/>
          <w:highlight w:val="none"/>
          <w:lang w:val="en-US" w:eastAsia="zh-CN" w:bidi="ar-SA"/>
        </w:rPr>
        <w:t xml:space="preserve">  </w:t>
      </w:r>
      <w:r>
        <w:rPr>
          <w:rFonts w:hint="eastAsia" w:ascii="仿宋" w:hAnsi="仿宋" w:eastAsia="仿宋" w:cs="仿宋"/>
          <w:sz w:val="30"/>
          <w:szCs w:val="30"/>
          <w:highlight w:val="none"/>
          <w:lang w:val="zh-CN" w:eastAsia="zh-CN"/>
        </w:rPr>
        <w:t>商品房预售实行许可制度。开发企业进行商品房预售，应当向商品房预售管理机构申请预售许可，取得《商品房预售许可证》。未取得《商品房预售许可证》的，不得进行商品房预售。 　</w:t>
      </w:r>
    </w:p>
    <w:p w14:paraId="0D27BB98">
      <w:pPr>
        <w:widowControl/>
        <w:shd w:val="clear" w:color="auto" w:fill="FFFFFF"/>
        <w:spacing w:line="322" w:lineRule="atLeast"/>
        <w:ind w:firstLine="640" w:firstLineChars="200"/>
        <w:jc w:val="left"/>
        <w:rPr>
          <w:rFonts w:hint="eastAsia" w:ascii="仿宋" w:hAnsi="仿宋" w:eastAsia="仿宋" w:cs="仿宋"/>
          <w:sz w:val="30"/>
          <w:szCs w:val="30"/>
          <w:highlight w:val="none"/>
          <w:lang w:val="en-US" w:eastAsia="zh-CN"/>
        </w:rPr>
      </w:pPr>
      <w:r>
        <w:rPr>
          <w:rFonts w:hint="eastAsia" w:ascii="黑体" w:hAnsi="黑体" w:eastAsia="黑体" w:cs="黑体"/>
          <w:kern w:val="2"/>
          <w:sz w:val="32"/>
          <w:szCs w:val="32"/>
          <w:highlight w:val="none"/>
          <w:lang w:val="en-US" w:eastAsia="zh-CN" w:bidi="ar-SA"/>
        </w:rPr>
        <w:t xml:space="preserve">第七条  </w:t>
      </w:r>
      <w:r>
        <w:rPr>
          <w:rFonts w:hint="eastAsia" w:ascii="仿宋" w:hAnsi="仿宋" w:eastAsia="仿宋" w:cs="仿宋"/>
          <w:sz w:val="30"/>
          <w:szCs w:val="30"/>
          <w:highlight w:val="none"/>
          <w:lang w:val="en-US" w:eastAsia="zh-CN"/>
        </w:rPr>
        <w:t>商品房预售实行商品房面积预测绘成果备案管理。</w:t>
      </w:r>
    </w:p>
    <w:p w14:paraId="60404A25">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开发企业申请办理商品房预售许可前，应委托具备相应资质的房产测绘机构，对拟预售商品房进行房产面积预测绘。预测绘</w:t>
      </w:r>
    </w:p>
    <w:p w14:paraId="028A56D0">
      <w:pPr>
        <w:widowControl/>
        <w:shd w:val="clear" w:color="auto" w:fill="FFFFFF"/>
        <w:spacing w:line="322" w:lineRule="atLeast"/>
        <w:jc w:val="left"/>
        <w:rPr>
          <w:rFonts w:hint="default" w:ascii="黑体" w:hAnsi="黑体" w:eastAsia="黑体" w:cs="黑体"/>
          <w:kern w:val="2"/>
          <w:sz w:val="32"/>
          <w:szCs w:val="32"/>
          <w:highlight w:val="none"/>
          <w:lang w:val="en-US" w:eastAsia="zh-CN" w:bidi="ar-SA"/>
        </w:rPr>
      </w:pPr>
      <w:r>
        <w:rPr>
          <w:rFonts w:hint="eastAsia" w:ascii="仿宋" w:hAnsi="仿宋" w:eastAsia="仿宋" w:cs="仿宋"/>
          <w:sz w:val="30"/>
          <w:szCs w:val="30"/>
          <w:highlight w:val="none"/>
          <w:lang w:val="en-US" w:eastAsia="zh-CN"/>
        </w:rPr>
        <w:t>成果经商品房销售管理部门备案后，</w:t>
      </w:r>
      <w:r>
        <w:rPr>
          <w:rFonts w:hint="eastAsia" w:ascii="仿宋" w:hAnsi="仿宋" w:eastAsia="仿宋" w:cs="仿宋"/>
          <w:sz w:val="30"/>
          <w:szCs w:val="30"/>
          <w:highlight w:val="none"/>
          <w:lang w:val="en-US" w:eastAsia="zh-CN"/>
        </w:rPr>
        <w:t>用于作为建立商品房电子楼盘表的依据</w:t>
      </w:r>
      <w:r>
        <w:rPr>
          <w:rFonts w:hint="eastAsia" w:ascii="仿宋" w:hAnsi="仿宋" w:eastAsia="仿宋" w:cs="仿宋"/>
          <w:sz w:val="30"/>
          <w:szCs w:val="30"/>
          <w:highlight w:val="none"/>
          <w:lang w:val="en-US" w:eastAsia="zh-CN"/>
        </w:rPr>
        <w:t>，通过电子楼盘表对房屋交易各项业务进行管理。</w:t>
      </w:r>
    </w:p>
    <w:p w14:paraId="6D7239A7">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开发企业申请预售许可，应当提交下列证件（复印件）及资料： </w:t>
      </w:r>
    </w:p>
    <w:p w14:paraId="3B794C79">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（一）商品房预售许可申请表。申请预售的最低规模不得小于栋；     </w:t>
      </w:r>
    </w:p>
    <w:p w14:paraId="5C71D200">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（二）开发企业的营业执照、资质证书。法人代表不能亲自到场办理的，办理人需要提供委托授权书； </w:t>
      </w:r>
    </w:p>
    <w:p w14:paraId="62D24B65">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（三）土地使用权证、建设工程规划许可证、建设工程施工许可证； </w:t>
      </w:r>
    </w:p>
    <w:p w14:paraId="5E19F123">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（四）投入开发建设的资金占工程建设总投资的比例符合规定条件的证明（</w:t>
      </w:r>
      <w:r>
        <w:rPr>
          <w:rFonts w:hint="eastAsia" w:ascii="仿宋" w:hAnsi="仿宋" w:eastAsia="仿宋" w:cs="仿宋"/>
          <w:sz w:val="30"/>
          <w:szCs w:val="30"/>
          <w:highlight w:val="none"/>
          <w:lang w:val="en-US" w:eastAsia="zh-CN"/>
        </w:rPr>
        <w:t>及形象进度说明）</w:t>
      </w:r>
      <w:r>
        <w:rPr>
          <w:rFonts w:hint="eastAsia" w:ascii="仿宋" w:hAnsi="仿宋" w:eastAsia="仿宋" w:cs="仿宋"/>
          <w:sz w:val="30"/>
          <w:szCs w:val="30"/>
          <w:highlight w:val="none"/>
          <w:lang w:val="zh-CN" w:eastAsia="zh-CN"/>
        </w:rPr>
        <w:t>； </w:t>
      </w:r>
    </w:p>
    <w:p w14:paraId="3D2D8580">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lang w:val="zh-CN" w:eastAsia="zh-CN"/>
        </w:rPr>
        <w:t>）商品房预售方案。预售方案应当说明预售商品房的位置、面积、竣工交付日期等内容，并应当附预售商品房分层平面图。开发企业应当按照商品住房预售方案销售商品住房。预售方案应当包括项目基本情况、建设进度安排、预售房屋套数、面积预测及分摊情况、公共部位和公共设施的具体范围、预售价格及变动幅度、预售资金监管落实情况、住房质量责任承担主体和承担方式、住房能源消耗指标和节能措施等。预售方案中主要内容发生变更的，应当报主管部门备案并公示。 </w:t>
      </w:r>
    </w:p>
    <w:p w14:paraId="11C61E1D">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en-US" w:eastAsia="zh-CN"/>
        </w:rPr>
        <w:t>六）预售资金监管协议书；</w:t>
      </w:r>
    </w:p>
    <w:p w14:paraId="1ABCD0D3">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（七）预测绘报告；</w:t>
      </w:r>
    </w:p>
    <w:p w14:paraId="78D70415">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（八）前期物业服务备案证明</w:t>
      </w:r>
      <w:r>
        <w:rPr>
          <w:rFonts w:hint="eastAsia" w:ascii="仿宋" w:hAnsi="仿宋" w:eastAsia="仿宋" w:cs="仿宋"/>
          <w:sz w:val="30"/>
          <w:szCs w:val="30"/>
          <w:highlight w:val="none"/>
          <w:lang w:val="en-US" w:eastAsia="zh-CN"/>
        </w:rPr>
        <w:t>（由项目属地物管办开具）;</w:t>
      </w:r>
    </w:p>
    <w:p w14:paraId="3BE719C5">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（九）拆迁安置证明</w:t>
      </w:r>
      <w:r>
        <w:rPr>
          <w:rFonts w:hint="eastAsia" w:ascii="仿宋" w:hAnsi="仿宋" w:eastAsia="仿宋" w:cs="仿宋"/>
          <w:sz w:val="30"/>
          <w:szCs w:val="30"/>
          <w:highlight w:val="none"/>
          <w:lang w:val="en-US" w:eastAsia="zh-CN"/>
        </w:rPr>
        <w:t>（由项目属地征收中心开具）；</w:t>
      </w:r>
    </w:p>
    <w:p w14:paraId="1CDB34CF">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lang w:val="zh-CN" w:eastAsia="zh-CN"/>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0"/>
          <w:szCs w:val="30"/>
          <w:highlight w:val="none"/>
          <w:lang w:val="zh-CN" w:eastAsia="zh-CN"/>
        </w:rPr>
        <w:t>商品房预售许可依下列程序办理： </w:t>
      </w:r>
    </w:p>
    <w:p w14:paraId="6F62CD33">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（一）受理。开发企业按本办法第</w:t>
      </w:r>
      <w:r>
        <w:rPr>
          <w:rFonts w:hint="eastAsia" w:ascii="仿宋" w:hAnsi="仿宋" w:eastAsia="仿宋" w:cs="仿宋"/>
          <w:sz w:val="30"/>
          <w:szCs w:val="30"/>
          <w:highlight w:val="none"/>
          <w:lang w:val="en-US" w:eastAsia="zh-CN"/>
        </w:rPr>
        <w:t>八</w:t>
      </w:r>
      <w:r>
        <w:rPr>
          <w:rFonts w:hint="eastAsia" w:ascii="仿宋" w:hAnsi="仿宋" w:eastAsia="仿宋" w:cs="仿宋"/>
          <w:sz w:val="30"/>
          <w:szCs w:val="30"/>
          <w:highlight w:val="none"/>
          <w:lang w:val="zh-CN" w:eastAsia="zh-CN"/>
        </w:rPr>
        <w:t>条的规定提交有关材料，材料齐全的，商品房预售管理机构应当现场出具受理通知书；材料不齐的，应当当场或者5日内一次性书面告知需要补充的材料；  </w:t>
      </w:r>
    </w:p>
    <w:p w14:paraId="590FD69E">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（二）审核。商品房预售管理机构对开发企业提供的有关材料是否符合法定条件进行审核。开发企业对所有提交材料实质内容的真实性负责；     </w:t>
      </w:r>
    </w:p>
    <w:p w14:paraId="539BE6B7">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三）许可。经审查，开发企业的申请符合法定条件的，商品房预售管理机构应当在受理之日起10日内，依法作出准予预售的行政许可书面决定，送达开发企业，并自作出决定之日起10日内向开发企业颁发、送达《商品房预售许可证》。 </w:t>
      </w:r>
    </w:p>
    <w:p w14:paraId="3B5C151C">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经审查，开发企业的申请不符合法定条件的，商品房预售行政主管部门应当在受理之日起10内，依法作出不予许可的书面决定。书面决定应当说明理由，告知开发企业依法享有申请行政复议或者提起行政诉讼的权利，并送达开发企业。</w:t>
      </w:r>
    </w:p>
    <w:p w14:paraId="3E97D66B">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 商品房预售准予许可决定书、不予许可决定书应当加盖商品房预售行政主管部门的行政许可专用印章，《商品房预售许可证》应当加盖商品房预售行政主管部门印章。 　</w:t>
      </w:r>
    </w:p>
    <w:p w14:paraId="619DFAC0">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（四）公示。商品房预售管理机构作出的准予商品房预售许可的决定，应当予以公开，公众有权查阅。    　</w:t>
      </w:r>
    </w:p>
    <w:p w14:paraId="3B58AD88">
      <w:pPr>
        <w:pStyle w:val="2"/>
        <w:keepNext w:val="0"/>
        <w:keepLines w:val="0"/>
        <w:widowControl/>
        <w:numPr>
          <w:ilvl w:val="0"/>
          <w:numId w:val="1"/>
        </w:numPr>
        <w:suppressLineNumbers w:val="0"/>
        <w:shd w:val="clear" w:fill="FFFFFF"/>
        <w:spacing w:line="270" w:lineRule="atLeast"/>
        <w:jc w:val="center"/>
        <w:rPr>
          <w:rFonts w:hint="eastAsia" w:ascii="仿宋" w:hAnsi="仿宋" w:eastAsia="仿宋" w:cs="仿宋"/>
          <w:sz w:val="30"/>
          <w:szCs w:val="30"/>
          <w:highlight w:val="none"/>
          <w:lang w:val="zh-CN" w:eastAsia="zh-CN"/>
        </w:rPr>
      </w:pPr>
      <w:r>
        <w:rPr>
          <w:rFonts w:hint="eastAsia" w:ascii="黑体" w:hAnsi="黑体" w:eastAsia="黑体" w:cs="黑体"/>
          <w:b/>
          <w:bCs/>
          <w:kern w:val="2"/>
          <w:sz w:val="44"/>
          <w:szCs w:val="44"/>
          <w:highlight w:val="none"/>
          <w:lang w:val="zh-CN" w:eastAsia="zh-CN" w:bidi="ar-SA"/>
        </w:rPr>
        <w:t>商品房预售行为管理 </w:t>
      </w:r>
      <w:r>
        <w:rPr>
          <w:rFonts w:hint="eastAsia" w:ascii="仿宋" w:hAnsi="仿宋" w:eastAsia="仿宋" w:cs="仿宋"/>
          <w:sz w:val="30"/>
          <w:szCs w:val="30"/>
          <w:highlight w:val="none"/>
          <w:lang w:val="zh-CN" w:eastAsia="zh-CN"/>
        </w:rPr>
        <w:t>   </w:t>
      </w:r>
    </w:p>
    <w:p w14:paraId="23521A05">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十</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开发企业预售商品房所得款项应当用于有关的工程建设，不得挪作他用。     </w:t>
      </w:r>
    </w:p>
    <w:p w14:paraId="5143679A">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第十</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未取得《商品房预售许可证》的，不得进行商品房预售，不得参加任何展销活动，不得以认购、预订、排号、发放VIP卡等方式向买受人收取或变相收取定金、预定款等性质的费用。取得预售许可的商品住房项目，开发企业要在10日内一次性公开全部准售房源及每套房屋价格，并严格按照申报价格，明码标价对外销售。开发企业不得将企业自留房屋在房屋所有权初始登记前对外销售，不得采取返本销售、售后包租的方式预售商品住房，不得进行虚假交易。 　</w:t>
      </w:r>
    </w:p>
    <w:p w14:paraId="4356D460">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未取得商品房预售许可证明而签订的商品房预售合同无效，但是在起诉前取得商品房预售许可证明的，可以认定有效。承购人应当依法保护自己的权利。 </w:t>
      </w:r>
    </w:p>
    <w:p w14:paraId="79F5CF03">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第十</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开发企业进行商品房预售，应当向承购人出示《商品房预售许可证》。售楼广告和说明书应当载明《商品房预售许可证》的批准文号。 </w:t>
      </w:r>
    </w:p>
    <w:p w14:paraId="4BD6284C">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开发企业应当按照商品住房预售方案销售商品住房。预售方案应当包括项目基本情况、建设进度安排、预售房屋套数、面积预测及分摊情况、公共部位和公共设施的具体范围、预售价格及变动幅度、预售资金监管落实情况、住房质量责任承担主体和承担方式、住房能源消耗指标和节能措施等。预售方案中主要内容发生变更的，应当报主管部门备案并公示。 </w:t>
      </w:r>
    </w:p>
    <w:p w14:paraId="3340E683">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第十</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商品房预售，开发企业应当与承购人签订商品房预售合同。商品房预售合同实行网上登记备案制度，开发企业应当自签约之日起30日内，向商品房预售管理机构办理商品房预售合同登记备案手续。委托代理人办理的，应当有书面委托书。 </w:t>
      </w:r>
    </w:p>
    <w:p w14:paraId="4D7E6B67">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全面</w:t>
      </w:r>
      <w:r>
        <w:rPr>
          <w:rFonts w:hint="eastAsia" w:ascii="仿宋" w:hAnsi="仿宋" w:eastAsia="仿宋" w:cs="仿宋"/>
          <w:sz w:val="30"/>
          <w:szCs w:val="30"/>
          <w:highlight w:val="none"/>
          <w:lang w:val="zh-CN" w:eastAsia="zh-CN"/>
        </w:rPr>
        <w:t>推</w:t>
      </w:r>
      <w:r>
        <w:rPr>
          <w:rFonts w:hint="eastAsia" w:ascii="仿宋" w:hAnsi="仿宋" w:eastAsia="仿宋" w:cs="仿宋"/>
          <w:sz w:val="30"/>
          <w:szCs w:val="30"/>
          <w:highlight w:val="none"/>
          <w:lang w:val="en-US" w:eastAsia="zh-CN"/>
        </w:rPr>
        <w:t>行</w:t>
      </w:r>
      <w:r>
        <w:rPr>
          <w:rFonts w:hint="eastAsia" w:ascii="仿宋" w:hAnsi="仿宋" w:eastAsia="仿宋" w:cs="仿宋"/>
          <w:sz w:val="30"/>
          <w:szCs w:val="30"/>
          <w:highlight w:val="none"/>
          <w:lang w:val="zh-CN" w:eastAsia="zh-CN"/>
        </w:rPr>
        <w:t>预售</w:t>
      </w:r>
      <w:r>
        <w:rPr>
          <w:rFonts w:hint="eastAsia" w:ascii="仿宋" w:hAnsi="仿宋" w:eastAsia="仿宋" w:cs="仿宋"/>
          <w:sz w:val="30"/>
          <w:szCs w:val="30"/>
          <w:highlight w:val="none"/>
          <w:lang w:val="en-US" w:eastAsia="zh-CN"/>
        </w:rPr>
        <w:t>合同网</w:t>
      </w:r>
      <w:r>
        <w:rPr>
          <w:rFonts w:hint="eastAsia" w:ascii="仿宋" w:hAnsi="仿宋" w:eastAsia="仿宋" w:cs="仿宋"/>
          <w:sz w:val="30"/>
          <w:szCs w:val="30"/>
          <w:highlight w:val="none"/>
          <w:lang w:val="zh-CN" w:eastAsia="zh-CN"/>
        </w:rPr>
        <w:t>签备案制度。商品房销售管理部</w:t>
      </w:r>
      <w:r>
        <w:rPr>
          <w:rFonts w:hint="eastAsia" w:ascii="仿宋" w:hAnsi="仿宋" w:eastAsia="仿宋" w:cs="仿宋"/>
          <w:sz w:val="30"/>
          <w:szCs w:val="30"/>
          <w:highlight w:val="none"/>
          <w:lang w:val="en-US" w:eastAsia="zh-CN"/>
        </w:rPr>
        <w:t>门</w:t>
      </w:r>
      <w:r>
        <w:rPr>
          <w:rFonts w:hint="eastAsia" w:ascii="仿宋" w:hAnsi="仿宋" w:eastAsia="仿宋" w:cs="仿宋"/>
          <w:sz w:val="30"/>
          <w:szCs w:val="30"/>
          <w:highlight w:val="none"/>
          <w:lang w:val="zh-CN" w:eastAsia="zh-CN"/>
        </w:rPr>
        <w:t>应加强预售合同</w:t>
      </w:r>
      <w:r>
        <w:rPr>
          <w:rFonts w:hint="eastAsia" w:ascii="仿宋" w:hAnsi="仿宋" w:eastAsia="仿宋" w:cs="仿宋"/>
          <w:sz w:val="30"/>
          <w:szCs w:val="30"/>
          <w:highlight w:val="none"/>
          <w:lang w:val="en-US" w:eastAsia="zh-CN"/>
        </w:rPr>
        <w:t>网</w:t>
      </w:r>
      <w:r>
        <w:rPr>
          <w:rFonts w:hint="eastAsia" w:ascii="仿宋" w:hAnsi="仿宋" w:eastAsia="仿宋" w:cs="仿宋"/>
          <w:sz w:val="30"/>
          <w:szCs w:val="30"/>
          <w:highlight w:val="none"/>
          <w:lang w:val="zh-CN" w:eastAsia="zh-CN"/>
        </w:rPr>
        <w:t>签备案管理，规范业务流程，优化信息系统，推</w:t>
      </w:r>
      <w:r>
        <w:rPr>
          <w:rFonts w:hint="eastAsia" w:ascii="仿宋" w:hAnsi="仿宋" w:eastAsia="仿宋" w:cs="仿宋"/>
          <w:sz w:val="30"/>
          <w:szCs w:val="30"/>
          <w:highlight w:val="none"/>
          <w:lang w:val="en-US" w:eastAsia="zh-CN"/>
        </w:rPr>
        <w:t>行</w:t>
      </w:r>
      <w:r>
        <w:rPr>
          <w:rFonts w:hint="eastAsia" w:ascii="仿宋" w:hAnsi="仿宋" w:eastAsia="仿宋" w:cs="仿宋"/>
          <w:sz w:val="30"/>
          <w:szCs w:val="30"/>
          <w:highlight w:val="none"/>
          <w:lang w:val="zh-CN" w:eastAsia="zh-CN"/>
        </w:rPr>
        <w:t>电</w:t>
      </w:r>
      <w:r>
        <w:rPr>
          <w:rFonts w:hint="eastAsia" w:ascii="仿宋" w:hAnsi="仿宋" w:eastAsia="仿宋" w:cs="仿宋"/>
          <w:sz w:val="30"/>
          <w:szCs w:val="30"/>
          <w:highlight w:val="none"/>
          <w:lang w:val="en-US" w:eastAsia="zh-CN"/>
        </w:rPr>
        <w:t>子</w:t>
      </w:r>
      <w:r>
        <w:rPr>
          <w:rFonts w:hint="eastAsia" w:ascii="仿宋" w:hAnsi="仿宋" w:eastAsia="仿宋" w:cs="仿宋"/>
          <w:sz w:val="30"/>
          <w:szCs w:val="30"/>
          <w:highlight w:val="none"/>
          <w:lang w:val="zh-CN" w:eastAsia="zh-CN"/>
        </w:rPr>
        <w:t>合同及</w:t>
      </w:r>
      <w:r>
        <w:rPr>
          <w:rFonts w:hint="eastAsia" w:ascii="仿宋" w:hAnsi="仿宋" w:eastAsia="仿宋" w:cs="仿宋"/>
          <w:sz w:val="30"/>
          <w:szCs w:val="30"/>
          <w:highlight w:val="none"/>
          <w:lang w:val="en-US" w:eastAsia="zh-CN"/>
        </w:rPr>
        <w:t>网</w:t>
      </w:r>
      <w:r>
        <w:rPr>
          <w:rFonts w:hint="eastAsia" w:ascii="仿宋" w:hAnsi="仿宋" w:eastAsia="仿宋" w:cs="仿宋"/>
          <w:sz w:val="30"/>
          <w:szCs w:val="30"/>
          <w:highlight w:val="none"/>
          <w:lang w:val="zh-CN" w:eastAsia="zh-CN"/>
        </w:rPr>
        <w:t>签即时备案。</w:t>
      </w:r>
    </w:p>
    <w:p w14:paraId="631AF5D3">
      <w:pPr>
        <w:widowControl/>
        <w:numPr>
          <w:ilvl w:val="0"/>
          <w:numId w:val="0"/>
        </w:numPr>
        <w:shd w:val="clear" w:color="auto" w:fill="FFFFFF"/>
        <w:spacing w:line="322" w:lineRule="atLeast"/>
        <w:ind w:firstLine="640" w:firstLineChars="200"/>
        <w:jc w:val="left"/>
        <w:rPr>
          <w:rFonts w:hint="eastAsia" w:ascii="仿宋" w:hAnsi="仿宋" w:eastAsia="仿宋" w:cs="仿宋"/>
          <w:sz w:val="30"/>
          <w:szCs w:val="30"/>
          <w:highlight w:val="none"/>
          <w:lang w:val="en-US" w:eastAsia="zh-CN"/>
        </w:rPr>
      </w:pPr>
      <w:r>
        <w:rPr>
          <w:rFonts w:hint="eastAsia" w:ascii="黑体" w:hAnsi="黑体" w:eastAsia="黑体" w:cs="黑体"/>
          <w:sz w:val="32"/>
          <w:szCs w:val="32"/>
          <w:highlight w:val="none"/>
          <w:lang w:val="zh-CN" w:eastAsia="zh-CN"/>
        </w:rPr>
        <w:t>第十</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val="zh-CN" w:eastAsia="zh-CN"/>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0"/>
          <w:szCs w:val="30"/>
          <w:highlight w:val="none"/>
          <w:lang w:val="en-US" w:eastAsia="zh-CN"/>
        </w:rPr>
        <w:t>全面实行商品房预售资金监管制度。</w:t>
      </w:r>
    </w:p>
    <w:p w14:paraId="637A3030">
      <w:pPr>
        <w:keepNext w:val="0"/>
        <w:keepLines w:val="0"/>
        <w:widowControl/>
        <w:suppressLineNumbers w:val="0"/>
        <w:ind w:firstLine="640" w:firstLineChars="200"/>
        <w:jc w:val="left"/>
        <w:rPr>
          <w:rFonts w:hint="eastAsia" w:ascii="仿宋" w:hAnsi="仿宋" w:eastAsia="仿宋" w:cs="仿宋"/>
          <w:sz w:val="30"/>
          <w:szCs w:val="30"/>
          <w:highlight w:val="none"/>
          <w:lang w:val="en-US" w:eastAsia="zh-CN"/>
        </w:rPr>
      </w:pPr>
      <w:r>
        <w:rPr>
          <w:rFonts w:hint="eastAsia" w:ascii="黑体" w:hAnsi="黑体" w:eastAsia="黑体" w:cs="黑体"/>
          <w:sz w:val="32"/>
          <w:szCs w:val="32"/>
          <w:highlight w:val="none"/>
          <w:lang w:val="zh-CN" w:eastAsia="zh-CN"/>
        </w:rPr>
        <w:t>第十</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lang w:val="zh-CN" w:eastAsia="zh-CN"/>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0"/>
          <w:szCs w:val="30"/>
          <w:highlight w:val="none"/>
          <w:lang w:val="en-US" w:eastAsia="zh-CN"/>
        </w:rPr>
        <w:t>房地产开发项目中配建的经营性用房（包括便利店、小型商超等市场微利经营的便民商业服务设施，</w:t>
      </w:r>
      <w:r>
        <w:rPr>
          <w:rFonts w:hint="eastAsia" w:ascii="仿宋" w:hAnsi="仿宋" w:eastAsia="仿宋" w:cs="仿宋"/>
          <w:sz w:val="30"/>
          <w:szCs w:val="30"/>
          <w:highlight w:val="none"/>
          <w:lang w:val="zh-CN" w:eastAsia="zh-CN"/>
        </w:rPr>
        <w:t>由建设单位投资建设</w:t>
      </w:r>
      <w:r>
        <w:rPr>
          <w:rFonts w:hint="eastAsia" w:ascii="仿宋" w:hAnsi="仿宋" w:eastAsia="仿宋" w:cs="仿宋"/>
          <w:sz w:val="30"/>
          <w:szCs w:val="30"/>
          <w:highlight w:val="none"/>
          <w:lang w:val="en-US" w:eastAsia="zh-CN"/>
        </w:rPr>
        <w:t>的</w:t>
      </w:r>
      <w:r>
        <w:rPr>
          <w:rFonts w:hint="eastAsia" w:ascii="仿宋" w:hAnsi="仿宋" w:eastAsia="仿宋" w:cs="仿宋"/>
          <w:sz w:val="30"/>
          <w:szCs w:val="30"/>
          <w:highlight w:val="none"/>
          <w:lang w:val="zh-CN" w:eastAsia="zh-CN"/>
        </w:rPr>
        <w:t>，其产权归建设单位或买受人所有，建成后按照权属移交，</w:t>
      </w:r>
      <w:r>
        <w:rPr>
          <w:rFonts w:hint="eastAsia" w:ascii="仿宋" w:hAnsi="仿宋" w:eastAsia="仿宋" w:cs="仿宋"/>
          <w:sz w:val="30"/>
          <w:szCs w:val="30"/>
          <w:highlight w:val="none"/>
          <w:lang w:val="zh-CN" w:eastAsia="zh-CN"/>
        </w:rPr>
        <w:t>首次登记时，不动产权证书需标注“经营性配建(规划用途:XXX)”，附记注明“未经市自然资源局批准不得改用途，违规不予办登记”;转移、抵押登记需核查用途，不符则不</w:t>
      </w:r>
      <w:r>
        <w:rPr>
          <w:rFonts w:hint="eastAsia" w:ascii="仿宋" w:hAnsi="仿宋" w:eastAsia="仿宋" w:cs="仿宋"/>
          <w:sz w:val="30"/>
          <w:szCs w:val="30"/>
          <w:highlight w:val="none"/>
          <w:lang w:val="en-US" w:eastAsia="zh-CN"/>
        </w:rPr>
        <w:t>予</w:t>
      </w:r>
      <w:r>
        <w:rPr>
          <w:rFonts w:hint="eastAsia" w:ascii="仿宋" w:hAnsi="仿宋" w:eastAsia="仿宋" w:cs="仿宋"/>
          <w:sz w:val="30"/>
          <w:szCs w:val="30"/>
          <w:highlight w:val="none"/>
          <w:lang w:val="zh-CN" w:eastAsia="zh-CN"/>
        </w:rPr>
        <w:t>受理。</w:t>
      </w:r>
      <w:r>
        <w:rPr>
          <w:rFonts w:hint="eastAsia" w:ascii="仿宋" w:hAnsi="仿宋" w:eastAsia="仿宋" w:cs="仿宋"/>
          <w:sz w:val="30"/>
          <w:szCs w:val="30"/>
          <w:highlight w:val="none"/>
          <w:lang w:val="en-US" w:eastAsia="zh-CN"/>
        </w:rPr>
        <w:t>市场监督管理</w:t>
      </w:r>
      <w:r>
        <w:rPr>
          <w:rFonts w:hint="eastAsia" w:ascii="仿宋" w:hAnsi="仿宋" w:eastAsia="仿宋" w:cs="仿宋"/>
          <w:sz w:val="30"/>
          <w:szCs w:val="30"/>
          <w:highlight w:val="none"/>
          <w:lang w:val="zh-CN" w:eastAsia="zh-CN"/>
        </w:rPr>
        <w:t>局核发营业执照需核验产权用途，经营范围需匹配，执照标注“变更需经规划审批”；</w:t>
      </w:r>
    </w:p>
    <w:p w14:paraId="7AC0CA5B">
      <w:pPr>
        <w:keepNext w:val="0"/>
        <w:keepLines w:val="0"/>
        <w:widowControl/>
        <w:suppressLineNumbers w:val="0"/>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（一）土地出让合同或规划许可文件未限定产权归属政府或公益性用途；  </w:t>
      </w:r>
    </w:p>
    <w:p w14:paraId="188B0F34">
      <w:pPr>
        <w:keepNext w:val="0"/>
        <w:keepLines w:val="0"/>
        <w:widowControl/>
        <w:suppressLineNumbers w:val="0"/>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（二）独立分割、权属清晰，可办理不动产单元编码；  </w:t>
      </w:r>
      <w:r>
        <w:rPr>
          <w:rFonts w:hint="eastAsia" w:ascii="仿宋" w:hAnsi="仿宋" w:eastAsia="仿宋" w:cs="仿宋"/>
          <w:sz w:val="30"/>
          <w:szCs w:val="30"/>
          <w:highlight w:val="none"/>
          <w:lang w:val="en-US" w:eastAsia="zh-CN"/>
        </w:rPr>
        <w:t xml:space="preserve"> </w:t>
      </w:r>
    </w:p>
    <w:p w14:paraId="2DF79AD5">
      <w:pPr>
        <w:keepNext w:val="0"/>
        <w:keepLines w:val="0"/>
        <w:widowControl/>
        <w:suppressLineNumbers w:val="0"/>
        <w:ind w:firstLine="640" w:firstLineChars="200"/>
        <w:jc w:val="left"/>
        <w:rPr>
          <w:rFonts w:hint="eastAsia" w:ascii="仿宋" w:hAnsi="仿宋" w:eastAsia="仿宋" w:cs="仿宋"/>
          <w:sz w:val="30"/>
          <w:szCs w:val="30"/>
          <w:highlight w:val="none"/>
          <w:lang w:val="en-US" w:eastAsia="zh-CN"/>
        </w:rPr>
      </w:pPr>
      <w:r>
        <w:rPr>
          <w:rFonts w:hint="eastAsia" w:ascii="黑体" w:hAnsi="黑体" w:eastAsia="黑体" w:cs="黑体"/>
          <w:sz w:val="32"/>
          <w:szCs w:val="32"/>
          <w:highlight w:val="none"/>
          <w:lang w:val="en-US" w:eastAsia="zh-CN"/>
        </w:rPr>
        <w:t xml:space="preserve">第十六条  </w:t>
      </w:r>
      <w:r>
        <w:rPr>
          <w:rFonts w:hint="eastAsia" w:ascii="仿宋" w:hAnsi="仿宋" w:eastAsia="仿宋" w:cs="仿宋"/>
          <w:sz w:val="30"/>
          <w:szCs w:val="30"/>
          <w:highlight w:val="none"/>
          <w:lang w:val="en-US" w:eastAsia="zh-CN"/>
        </w:rPr>
        <w:t xml:space="preserve">下列配建用房不得纳入预售：  </w:t>
      </w:r>
    </w:p>
    <w:p w14:paraId="755FCE94">
      <w:pPr>
        <w:keepNext w:val="0"/>
        <w:keepLines w:val="0"/>
        <w:widowControl/>
        <w:suppressLineNumbers w:val="0"/>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（一）规划确定为社区服务、教育、养老、卫生等公益性配套设施；  </w:t>
      </w:r>
    </w:p>
    <w:p w14:paraId="3F65593E">
      <w:pPr>
        <w:keepNext w:val="0"/>
        <w:keepLines w:val="0"/>
        <w:widowControl/>
        <w:suppressLineNumbers w:val="0"/>
        <w:ind w:firstLine="600" w:firstLineChars="200"/>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（二）未经批准改变用途或分割销售的居住类配套用房。</w:t>
      </w:r>
      <w:r>
        <w:rPr>
          <w:rFonts w:hint="eastAsia" w:ascii="黑体" w:hAnsi="黑体" w:eastAsia="黑体" w:cs="黑体"/>
          <w:sz w:val="32"/>
          <w:szCs w:val="32"/>
          <w:highlight w:val="none"/>
          <w:lang w:val="en-US" w:eastAsia="zh-CN"/>
        </w:rPr>
        <w:t xml:space="preserve"> </w:t>
      </w:r>
    </w:p>
    <w:p w14:paraId="5D4A7A12">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第十</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开发企业应当在订立商品房买卖合同之前向买受人明示《商品房销售管理办法》和《商品房买卖合同示范文本》；预售商品房的，还必须明示《城市商品房预售管理办法》。签订商品房买卖合同时，应当使用统一制订的《商品房买卖合同示范文本》。预售人和承购人有权依法对《商品房买卖合同示范文本》的内容进行选择、修改和补充，但必须包含法律、法规规定的必备内容。 　　</w:t>
      </w:r>
    </w:p>
    <w:p w14:paraId="1F7AE3B9">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商品房买卖合同文本应对商品住房质量性能，物业会所、车位等设施归属，交付使用条件及其违约责任作出明确约定，并将《住宅质量保证书》《住宅使用说明书》作为合同附件。 </w:t>
      </w:r>
    </w:p>
    <w:p w14:paraId="1F910AC4">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第十</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开发企业进行商品房预售，应当向承购人出示《商品房预售许可证》。售楼广告和说明书应当载明《商品房预售许可证》的批准文号。 　</w:t>
      </w:r>
    </w:p>
    <w:p w14:paraId="4C4B20E6">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第十</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开发企业应当按照批准的规划、设计建设商品房。商品房销售后，房地产开发企业不得擅自变更规划、设计。 　</w:t>
      </w:r>
    </w:p>
    <w:p w14:paraId="208C3E36">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经规划部门批准的规划变更、设计单位同意的设计变更导致商品房的结构型式、户型、空间尺寸、朝向变化，以及出现合同当事人约定的其他影响商品房质量或者使用功能情形的，开发企业应当在变更确立之日起10日内，书面通知买受人。</w:t>
      </w:r>
    </w:p>
    <w:p w14:paraId="7C0AC8D2">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买受人有权在通知到达之日起15日内做出是否退房的书面答复。买受人在通知到达之日起15日内未作书面答复的，视同接受规划、设计变更以及由此引起的房价款的变更。开发企业未在规定时限内通知买受人的，买受人有权退房；买受人退房的，由开发企业承担违约责任。 </w:t>
      </w:r>
    </w:p>
    <w:p w14:paraId="3CAABABD">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val="zh-CN" w:eastAsia="zh-CN"/>
        </w:rPr>
        <w:t>十条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商品房严格实行购房实名制，认购后不得擅自更改购房者姓名。购房人预订商品住房后，未在规定时间内签订预售合同的，预订应予以解除，解除的房源应当公开销售。已签订商品住房买卖合同并网上备案、经双方协商一致需解除合同的，双方应递交申请并说明理由，所退房源应当公开销售。   　</w:t>
      </w:r>
    </w:p>
    <w:p w14:paraId="4AB25B0E">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二十一</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预售的商品房交付使用之日起90日内，承购人应当依法到不动产登记管理部门办理权属登记手续。开发企业应当予以协助，并提供必要的证明文件。 </w:t>
      </w:r>
    </w:p>
    <w:p w14:paraId="029D1123">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由于开发企业的原因，承购人未能在房屋交付使用之日起90日内取得房屋权属证书的，除开发企业和承购人有特殊约定外，开发企业应当承担违约责任。  </w:t>
      </w:r>
    </w:p>
    <w:p w14:paraId="4F2AC6D2">
      <w:pPr>
        <w:widowControl/>
        <w:shd w:val="clear" w:color="auto" w:fill="FFFFFF"/>
        <w:spacing w:line="322" w:lineRule="atLeast"/>
        <w:ind w:firstLine="640" w:firstLineChars="200"/>
        <w:jc w:val="left"/>
        <w:rPr>
          <w:rFonts w:hint="eastAsia" w:ascii="仿宋" w:hAnsi="仿宋" w:eastAsia="仿宋" w:cs="仿宋"/>
          <w:sz w:val="30"/>
          <w:szCs w:val="30"/>
          <w:highlight w:val="none"/>
          <w:lang w:val="en-US" w:eastAsia="zh-CN"/>
        </w:rPr>
      </w:pPr>
      <w:r>
        <w:rPr>
          <w:rFonts w:hint="eastAsia" w:ascii="黑体" w:hAnsi="黑体" w:eastAsia="黑体" w:cs="黑体"/>
          <w:sz w:val="32"/>
          <w:szCs w:val="32"/>
          <w:highlight w:val="none"/>
          <w:lang w:val="en-US" w:eastAsia="zh-CN"/>
        </w:rPr>
        <w:t xml:space="preserve">第二十二条  </w:t>
      </w:r>
      <w:r>
        <w:rPr>
          <w:rFonts w:hint="eastAsia" w:ascii="仿宋" w:hAnsi="仿宋" w:eastAsia="仿宋" w:cs="仿宋"/>
          <w:sz w:val="30"/>
          <w:szCs w:val="30"/>
          <w:highlight w:val="none"/>
          <w:lang w:val="en-US" w:eastAsia="zh-CN"/>
        </w:rPr>
        <w:t>规范完善商品房销售信息公开制度。商品房销售时,开发企业和商品房承销机构应当在商品房销售现场，按规定明示商品房销售信息。</w:t>
      </w:r>
    </w:p>
    <w:p w14:paraId="1726B664">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（一）企业及项目信息：包含开发企业及商品房承销机构基本信息、房地产开发项目信息、经批准的房地产开发项目修建性</w:t>
      </w:r>
    </w:p>
    <w:p w14:paraId="29DC069B">
      <w:pPr>
        <w:widowControl/>
        <w:shd w:val="clear" w:color="auto" w:fill="FFFFFF"/>
        <w:spacing w:line="322" w:lineRule="atLeast"/>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详细规划图、沙盘、测绘成果（包括预测绘和实测绘、公摊面积及说明、售后服务机构及前期物业管理等信息）；</w:t>
      </w:r>
    </w:p>
    <w:p w14:paraId="1B187ABB">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（二）有关证件信息：包含营业执照、开发企业资质证书、不动产权证书（国有土地使用权证）、建设用地规划许可证、建</w:t>
      </w:r>
    </w:p>
    <w:p w14:paraId="2F51BCFD">
      <w:pPr>
        <w:widowControl/>
        <w:shd w:val="clear" w:color="auto" w:fill="FFFFFF"/>
        <w:spacing w:line="322" w:lineRule="atLeast"/>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设工程规划许可证、建筑工程施工许可证、商品房预售许可证（商品房现售备案证）、前期物业管理备案证明等相关证件信息；</w:t>
      </w:r>
    </w:p>
    <w:p w14:paraId="72601ABA">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（三）有关法律法规及制式文本：包含四平市城市商品房预售管理办法、商品房买卖合同示范文本、商品房质量保证书、商</w:t>
      </w:r>
    </w:p>
    <w:p w14:paraId="02696491">
      <w:pPr>
        <w:widowControl/>
        <w:shd w:val="clear" w:color="auto" w:fill="FFFFFF"/>
        <w:spacing w:line="322" w:lineRule="atLeast"/>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品房使用说明书等法律法规及制式文本；</w:t>
      </w:r>
    </w:p>
    <w:p w14:paraId="24182EA8">
      <w:pPr>
        <w:widowControl/>
        <w:shd w:val="clear" w:color="auto" w:fill="FFFFFF"/>
        <w:spacing w:line="322" w:lineRule="atLeast"/>
        <w:jc w:val="left"/>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（四）应在销售现场对规划实施的配套幼儿园的位置、面积、标准 学位数量、产权归属及竣工时间等内容进行准确公示。</w:t>
      </w:r>
    </w:p>
    <w:p w14:paraId="3A6E23C2">
      <w:pPr>
        <w:widowControl/>
        <w:shd w:val="clear" w:color="auto" w:fill="FFFFFF"/>
        <w:spacing w:line="322" w:lineRule="atLeast"/>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（五）其他信息：如购房温馨提示、经批准的房地产开发项目修建性详细规划图、合法诚信经营承诺书、民用建筑节能信息</w:t>
      </w:r>
    </w:p>
    <w:p w14:paraId="43673100">
      <w:pPr>
        <w:widowControl/>
        <w:shd w:val="clear" w:color="auto" w:fill="FFFFFF"/>
        <w:spacing w:line="322" w:lineRule="atLeast"/>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公示表、居住不利因素提示、车（库）位租售办法等其他需要明示的信息。</w:t>
      </w:r>
    </w:p>
    <w:p w14:paraId="36B3C580">
      <w:pPr>
        <w:widowControl/>
        <w:shd w:val="clear" w:color="auto" w:fill="FFFFFF"/>
        <w:spacing w:line="322" w:lineRule="atLeast"/>
        <w:ind w:firstLine="640" w:firstLineChars="200"/>
        <w:jc w:val="left"/>
        <w:rPr>
          <w:rFonts w:hint="default" w:ascii="仿宋" w:hAnsi="仿宋" w:eastAsia="仿宋" w:cs="仿宋"/>
          <w:sz w:val="30"/>
          <w:szCs w:val="30"/>
          <w:highlight w:val="none"/>
          <w:lang w:val="en-US" w:eastAsia="zh-CN"/>
        </w:rPr>
      </w:pPr>
      <w:r>
        <w:rPr>
          <w:rFonts w:hint="eastAsia" w:ascii="黑体" w:hAnsi="黑体" w:eastAsia="黑体" w:cs="黑体"/>
          <w:sz w:val="32"/>
          <w:szCs w:val="32"/>
          <w:highlight w:val="none"/>
          <w:lang w:val="en-US" w:eastAsia="zh-CN"/>
        </w:rPr>
        <w:t xml:space="preserve">第二十三条  </w:t>
      </w:r>
      <w:r>
        <w:rPr>
          <w:rFonts w:hint="eastAsia" w:ascii="仿宋" w:hAnsi="仿宋" w:eastAsia="仿宋" w:cs="仿宋"/>
          <w:sz w:val="30"/>
          <w:szCs w:val="30"/>
          <w:highlight w:val="none"/>
          <w:lang w:val="en-US" w:eastAsia="zh-CN"/>
        </w:rPr>
        <w:t>开发企业未售出的商品房，符合商品房现售条件的，其销售应当按照商品房现售有关规定执行。</w:t>
      </w:r>
    </w:p>
    <w:p w14:paraId="54CCFEAC">
      <w:pPr>
        <w:pStyle w:val="2"/>
        <w:keepNext w:val="0"/>
        <w:keepLines w:val="0"/>
        <w:widowControl/>
        <w:numPr>
          <w:ilvl w:val="0"/>
          <w:numId w:val="1"/>
        </w:numPr>
        <w:suppressLineNumbers w:val="0"/>
        <w:shd w:val="clear" w:fill="FFFFFF"/>
        <w:spacing w:line="270" w:lineRule="atLeast"/>
        <w:jc w:val="center"/>
        <w:rPr>
          <w:rFonts w:hint="eastAsia" w:ascii="黑体" w:hAnsi="黑体" w:eastAsia="黑体" w:cs="黑体"/>
          <w:b/>
          <w:bCs/>
          <w:kern w:val="2"/>
          <w:sz w:val="44"/>
          <w:szCs w:val="44"/>
          <w:highlight w:val="none"/>
          <w:lang w:val="zh-CN" w:eastAsia="zh-CN" w:bidi="ar-SA"/>
        </w:rPr>
      </w:pPr>
      <w:r>
        <w:rPr>
          <w:rFonts w:hint="eastAsia" w:ascii="黑体" w:hAnsi="黑体" w:eastAsia="黑体" w:cs="黑体"/>
          <w:b/>
          <w:bCs/>
          <w:kern w:val="2"/>
          <w:sz w:val="44"/>
          <w:szCs w:val="44"/>
          <w:highlight w:val="none"/>
          <w:lang w:val="zh-CN" w:eastAsia="zh-CN" w:bidi="ar-SA"/>
        </w:rPr>
        <w:t>法律责任 </w:t>
      </w:r>
    </w:p>
    <w:p w14:paraId="33B0BBDA">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二十四</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开发企业未取得《商品房预售许可证》，擅自预售商品房的，由商品房预售行政主管部门责令停止违法行为，没收违法所得，可以并处已收取的预付款1%以下的罚款。 　　</w:t>
      </w:r>
    </w:p>
    <w:p w14:paraId="4D56BE73">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二十五</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开发企业在预售商品房中，违反本办法第</w:t>
      </w:r>
      <w:r>
        <w:rPr>
          <w:rFonts w:hint="eastAsia" w:ascii="仿宋" w:hAnsi="仿宋" w:eastAsia="仿宋" w:cs="仿宋"/>
          <w:sz w:val="30"/>
          <w:szCs w:val="30"/>
          <w:highlight w:val="none"/>
          <w:lang w:val="en-US" w:eastAsia="zh-CN"/>
        </w:rPr>
        <w:t>十九条</w:t>
      </w:r>
      <w:r>
        <w:rPr>
          <w:rFonts w:hint="eastAsia" w:ascii="仿宋" w:hAnsi="仿宋" w:eastAsia="仿宋" w:cs="仿宋"/>
          <w:sz w:val="30"/>
          <w:szCs w:val="30"/>
          <w:highlight w:val="none"/>
          <w:lang w:val="zh-CN" w:eastAsia="zh-CN"/>
        </w:rPr>
        <w:t>规定，预售人未向承购人明示法定事项的，处以警告，责令限期改正，并可处以1万元以上3万元以下罚款。 　</w:t>
      </w:r>
    </w:p>
    <w:p w14:paraId="0DCE5319">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第二十</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lang w:val="zh-CN" w:eastAsia="zh-CN"/>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0"/>
          <w:szCs w:val="30"/>
          <w:highlight w:val="none"/>
          <w:lang w:val="zh-CN" w:eastAsia="zh-CN"/>
        </w:rPr>
        <w:t>开发企业不按规定使用商品房预售款项的，由商品房预售行政主管部门责令限期纠正，并可处以违法所得3倍以下但不超过3万元的罚款。     </w:t>
      </w:r>
    </w:p>
    <w:p w14:paraId="25586919">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第二十</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lang w:val="zh-CN" w:eastAsia="zh-CN"/>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0"/>
          <w:szCs w:val="30"/>
          <w:highlight w:val="none"/>
          <w:lang w:val="zh-CN" w:eastAsia="zh-CN"/>
        </w:rPr>
        <w:t>开发企业隐瞒有关情况、提供虚假材料，或者采用欺骗、贿赂等不正当手段取得商品房预售许可的，由商品房预售管理机构责令停止预售，撤销商品房预售许可，并处3万元罚款。  </w:t>
      </w:r>
    </w:p>
    <w:p w14:paraId="4CB828FC">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第二十</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lang w:val="zh-CN" w:eastAsia="zh-CN"/>
        </w:rPr>
        <w:t>条</w:t>
      </w:r>
      <w:r>
        <w:rPr>
          <w:rFonts w:hint="eastAsia" w:ascii="黑体" w:hAnsi="黑体" w:eastAsia="黑体" w:cs="黑体"/>
          <w:sz w:val="32"/>
          <w:szCs w:val="32"/>
          <w:highlight w:val="none"/>
          <w:lang w:val="en-US" w:eastAsia="zh-CN"/>
        </w:rPr>
        <w:t xml:space="preserve">  </w:t>
      </w:r>
      <w:r>
        <w:rPr>
          <w:rFonts w:hint="eastAsia" w:ascii="仿宋" w:hAnsi="仿宋" w:eastAsia="仿宋" w:cs="仿宋"/>
          <w:sz w:val="30"/>
          <w:szCs w:val="30"/>
          <w:highlight w:val="none"/>
          <w:lang w:val="zh-CN" w:eastAsia="zh-CN"/>
        </w:rPr>
        <w:t>商品房预售管理工作人员在房地产开发经营监督管理工作中玩忽职守、徇私舞弊、滥用职权，构成犯罪的，依法追究刑事责任；尚不构成犯罪的，依法给予行政处分。  </w:t>
      </w:r>
    </w:p>
    <w:p w14:paraId="31CC89E4">
      <w:pPr>
        <w:widowControl/>
        <w:shd w:val="clear" w:color="auto" w:fill="FFFFFF"/>
        <w:spacing w:line="322" w:lineRule="atLeast"/>
        <w:jc w:val="center"/>
        <w:rPr>
          <w:rFonts w:hint="eastAsia" w:ascii="仿宋" w:hAnsi="仿宋" w:eastAsia="仿宋" w:cs="仿宋"/>
          <w:sz w:val="30"/>
          <w:szCs w:val="30"/>
          <w:highlight w:val="none"/>
          <w:lang w:val="zh-CN" w:eastAsia="zh-CN"/>
        </w:rPr>
      </w:pPr>
      <w:r>
        <w:rPr>
          <w:rFonts w:hint="eastAsia" w:ascii="黑体" w:hAnsi="黑体" w:eastAsia="黑体" w:cs="黑体"/>
          <w:b/>
          <w:bCs/>
          <w:kern w:val="2"/>
          <w:sz w:val="44"/>
          <w:szCs w:val="44"/>
          <w:highlight w:val="none"/>
          <w:lang w:val="zh-CN" w:eastAsia="zh-CN" w:bidi="ar-SA"/>
        </w:rPr>
        <w:t>第五章 附 则</w:t>
      </w:r>
    </w:p>
    <w:p w14:paraId="6A9A029F">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二十九</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本办法中“没收违法所得”是指开发企业擅自预售商品房的全部收入扣除其开发建设经营成本的所得。即商品房出售全部价款扣除建设成本，剩余为违法所得。 </w:t>
      </w:r>
    </w:p>
    <w:p w14:paraId="7AE8AF34">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三十</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本办法所管理的商品房是指在国有土地上、城市规划区内，由开发企业通过合法建造，用于销售、出租或项目转让的房屋。 </w:t>
      </w:r>
    </w:p>
    <w:p w14:paraId="024ABC0A">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三十一</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各县（市）可参照本办法自行制定本地区商品房预售管理办法。 </w:t>
      </w:r>
    </w:p>
    <w:p w14:paraId="26E8CA67">
      <w:pPr>
        <w:widowControl/>
        <w:shd w:val="clear" w:color="auto" w:fill="FFFFFF"/>
        <w:spacing w:line="322" w:lineRule="atLeast"/>
        <w:ind w:firstLine="640" w:firstLineChars="200"/>
        <w:jc w:val="left"/>
        <w:rPr>
          <w:rFonts w:hint="eastAsia" w:ascii="仿宋" w:hAnsi="仿宋" w:eastAsia="仿宋" w:cs="仿宋"/>
          <w:sz w:val="30"/>
          <w:szCs w:val="30"/>
          <w:highlight w:val="none"/>
          <w:lang w:val="zh-CN" w:eastAsia="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三十二</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eastAsia="zh-CN"/>
        </w:rPr>
        <w:t>本办法由市住建局负责解释。 </w:t>
      </w:r>
    </w:p>
    <w:p w14:paraId="5C427B52">
      <w:pPr>
        <w:spacing w:line="360" w:lineRule="auto"/>
        <w:ind w:firstLine="640" w:firstLineChars="200"/>
        <w:rPr>
          <w:rFonts w:ascii="仿宋" w:hAnsi="仿宋" w:eastAsia="仿宋" w:cs="仿宋"/>
          <w:sz w:val="32"/>
          <w:szCs w:val="32"/>
          <w:highlight w:val="none"/>
          <w:lang w:val="zh-CN"/>
        </w:rPr>
      </w:pPr>
      <w:r>
        <w:rPr>
          <w:rFonts w:hint="eastAsia" w:ascii="黑体" w:hAnsi="黑体" w:eastAsia="黑体" w:cs="黑体"/>
          <w:sz w:val="32"/>
          <w:szCs w:val="32"/>
          <w:highlight w:val="none"/>
          <w:lang w:val="zh-CN" w:eastAsia="zh-CN"/>
        </w:rPr>
        <w:t>第</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val="zh-CN" w:eastAsia="zh-CN"/>
        </w:rPr>
        <w:t>十</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val="zh-CN" w:eastAsia="zh-CN"/>
        </w:rPr>
        <w:t>条</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zh-CN"/>
        </w:rPr>
        <w:t>本办法自印发之日起施行，有效期</w:t>
      </w:r>
      <w:r>
        <w:rPr>
          <w:rFonts w:ascii="仿宋" w:hAnsi="仿宋" w:eastAsia="仿宋" w:cs="仿宋"/>
          <w:sz w:val="30"/>
          <w:szCs w:val="30"/>
          <w:highlight w:val="none"/>
          <w:lang w:val="zh-CN"/>
        </w:rPr>
        <w:t>5</w:t>
      </w:r>
      <w:r>
        <w:rPr>
          <w:rFonts w:hint="eastAsia" w:ascii="仿宋" w:hAnsi="仿宋" w:eastAsia="仿宋" w:cs="仿宋"/>
          <w:sz w:val="30"/>
          <w:szCs w:val="30"/>
          <w:highlight w:val="none"/>
          <w:lang w:val="zh-CN"/>
        </w:rPr>
        <w:t>年。</w:t>
      </w:r>
    </w:p>
    <w:p w14:paraId="23A65599">
      <w:pPr>
        <w:widowControl/>
        <w:shd w:val="clear" w:color="auto" w:fill="FFFFFF"/>
        <w:spacing w:line="322" w:lineRule="atLeast"/>
        <w:ind w:firstLine="600" w:firstLineChars="200"/>
        <w:jc w:val="left"/>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 </w:t>
      </w:r>
    </w:p>
    <w:p w14:paraId="7D50568D">
      <w:pPr>
        <w:widowControl/>
        <w:shd w:val="clear" w:color="auto" w:fill="FFFFFF"/>
        <w:spacing w:line="322" w:lineRule="atLeast"/>
        <w:jc w:val="left"/>
        <w:rPr>
          <w:rFonts w:hint="eastAsia" w:ascii="仿宋" w:hAnsi="仿宋" w:eastAsia="仿宋" w:cs="仿宋"/>
          <w:sz w:val="28"/>
          <w:szCs w:val="28"/>
          <w:highlight w:val="none"/>
          <w:lang w:val="zh-C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11D6"/>
    <w:multiLevelType w:val="singleLevel"/>
    <w:tmpl w:val="B19711D6"/>
    <w:lvl w:ilvl="0" w:tentative="0">
      <w:start w:val="1"/>
      <w:numFmt w:val="chineseCounting"/>
      <w:suff w:val="space"/>
      <w:lvlText w:val="第%1章"/>
      <w:lvlJc w:val="left"/>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A777B"/>
    <w:rsid w:val="00822190"/>
    <w:rsid w:val="09D53323"/>
    <w:rsid w:val="0AEA1189"/>
    <w:rsid w:val="0B0A777B"/>
    <w:rsid w:val="0C691323"/>
    <w:rsid w:val="0E3536FE"/>
    <w:rsid w:val="111D7BC2"/>
    <w:rsid w:val="12374CB3"/>
    <w:rsid w:val="15273705"/>
    <w:rsid w:val="18A922AD"/>
    <w:rsid w:val="18D86A5D"/>
    <w:rsid w:val="1A8B2040"/>
    <w:rsid w:val="203A2B38"/>
    <w:rsid w:val="25003496"/>
    <w:rsid w:val="2A9F013D"/>
    <w:rsid w:val="2AE05411"/>
    <w:rsid w:val="2CEA146E"/>
    <w:rsid w:val="30FF4EEE"/>
    <w:rsid w:val="31411253"/>
    <w:rsid w:val="31C10998"/>
    <w:rsid w:val="353400E6"/>
    <w:rsid w:val="3B7860BD"/>
    <w:rsid w:val="4181265A"/>
    <w:rsid w:val="44A2053B"/>
    <w:rsid w:val="46396545"/>
    <w:rsid w:val="48AE4A66"/>
    <w:rsid w:val="4B124838"/>
    <w:rsid w:val="4B5D4A84"/>
    <w:rsid w:val="4DB82445"/>
    <w:rsid w:val="4DF72F6D"/>
    <w:rsid w:val="4F7E4E3F"/>
    <w:rsid w:val="52F61A46"/>
    <w:rsid w:val="559B68D4"/>
    <w:rsid w:val="593C217C"/>
    <w:rsid w:val="5AFC055B"/>
    <w:rsid w:val="5C9D73D6"/>
    <w:rsid w:val="5D137173"/>
    <w:rsid w:val="5D4D7F92"/>
    <w:rsid w:val="5EBE53E1"/>
    <w:rsid w:val="609B3C2C"/>
    <w:rsid w:val="64346872"/>
    <w:rsid w:val="648C047B"/>
    <w:rsid w:val="649D0C2F"/>
    <w:rsid w:val="67124465"/>
    <w:rsid w:val="6D0E38A3"/>
    <w:rsid w:val="6EA66A4B"/>
    <w:rsid w:val="6FDC54F7"/>
    <w:rsid w:val="77B533CE"/>
    <w:rsid w:val="7C4457D0"/>
    <w:rsid w:val="7E94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4875</Words>
  <Characters>4896</Characters>
  <Lines>0</Lines>
  <Paragraphs>0</Paragraphs>
  <TotalTime>121</TotalTime>
  <ScaleCrop>false</ScaleCrop>
  <LinksUpToDate>false</LinksUpToDate>
  <CharactersWithSpaces>5077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2025-09-09T03:15:00Z</dcterms:created>
  <dc:creator>袁字旺</dc:creator>
  <cp:lastModifiedBy>袁字旺</cp:lastModifiedBy>
  <cp:lastPrinted>2025-10-27T08:07:53Z</cp:lastPrinted>
  <dcterms:modified xsi:type="dcterms:W3CDTF">2025-10-27T08:16:57Z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49A42F3BE2E149009E2B2E5C80F64D7F_13</vt:lpwstr>
  </property>
  <property fmtid="{D5CDD505-2E9C-101B-9397-08002B2CF9AE}" pid="4" name="KSOTemplateDocerSaveRecord">
    <vt:lpwstr>eyJoZGlkIjoiMjk3NGM1YTY3ZTEwNGVhYzhiODE3ZWRiMWFhZThjOTkiLCJ1c2VySWQiOiIyNDM2NDMwOTAifQ==</vt:lpwstr>
  </property>
</Properties>
</file>