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25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1008"/>
        <w:gridCol w:w="252"/>
        <w:gridCol w:w="2520"/>
        <w:gridCol w:w="204"/>
        <w:gridCol w:w="1985"/>
        <w:gridCol w:w="3211"/>
        <w:gridCol w:w="616"/>
        <w:gridCol w:w="2639"/>
        <w:gridCol w:w="621"/>
        <w:gridCol w:w="1194"/>
      </w:tblGrid>
      <w:tr>
        <w:trPr>
          <w:trHeight w:val="600" w:hRule="atLeast"/>
        </w:trPr>
        <w:tc>
          <w:tcPr>
            <w:tcW w:w="1260" w:type="dxa"/>
            <w:gridSpan w:val="2"/>
            <w:vAlign w:val="center"/>
          </w:tcPr>
          <w:p>
            <w:pPr>
              <w:widowControl/>
              <w:jc w:val="left"/>
              <w:textAlignment w:val="center"/>
              <w:rPr>
                <w:rFonts w:ascii="黑体" w:hAnsi="宋体" w:eastAsia="黑体"/>
                <w:color w:val="000000"/>
                <w:sz w:val="32"/>
                <w:szCs w:val="32"/>
              </w:rPr>
            </w:pPr>
            <w:r>
              <w:rPr>
                <w:rFonts w:hint="eastAsia" w:ascii="黑体" w:hAnsi="宋体" w:eastAsia="黑体"/>
                <w:color w:val="000000"/>
                <w:kern w:val="0"/>
                <w:sz w:val="32"/>
                <w:szCs w:val="32"/>
              </w:rPr>
              <w:t>附件1</w:t>
            </w:r>
            <w:r>
              <w:rPr>
                <w:rFonts w:hint="eastAsia" w:ascii="黑体" w:hAnsi="宋体" w:eastAsia="黑体"/>
                <w:color w:val="000000"/>
                <w:kern w:val="0"/>
                <w:sz w:val="32"/>
                <w:szCs w:val="32"/>
                <w:lang w:eastAsia="zh-CN"/>
              </w:rPr>
              <w:t>：</w:t>
            </w:r>
          </w:p>
        </w:tc>
        <w:tc>
          <w:tcPr>
            <w:tcW w:w="2520" w:type="dxa"/>
            <w:vAlign w:val="center"/>
          </w:tcPr>
          <w:p>
            <w:pPr>
              <w:rPr>
                <w:rFonts w:ascii="宋体" w:hAnsi="宋体" w:cs="宋体"/>
                <w:color w:val="000000"/>
                <w:sz w:val="32"/>
                <w:szCs w:val="32"/>
              </w:rPr>
            </w:pPr>
          </w:p>
        </w:tc>
        <w:tc>
          <w:tcPr>
            <w:tcW w:w="5400" w:type="dxa"/>
            <w:gridSpan w:val="3"/>
            <w:vAlign w:val="center"/>
          </w:tcPr>
          <w:p>
            <w:pPr>
              <w:rPr>
                <w:rFonts w:ascii="宋体" w:hAnsi="宋体" w:cs="宋体"/>
                <w:color w:val="000000"/>
                <w:sz w:val="32"/>
                <w:szCs w:val="32"/>
              </w:rPr>
            </w:pPr>
          </w:p>
        </w:tc>
        <w:tc>
          <w:tcPr>
            <w:tcW w:w="3255" w:type="dxa"/>
            <w:gridSpan w:val="2"/>
            <w:vAlign w:val="center"/>
          </w:tcPr>
          <w:p>
            <w:pPr>
              <w:rPr>
                <w:rFonts w:ascii="宋体" w:hAnsi="宋体" w:cs="宋体"/>
                <w:color w:val="000000"/>
                <w:sz w:val="32"/>
                <w:szCs w:val="32"/>
              </w:rPr>
            </w:pPr>
          </w:p>
        </w:tc>
        <w:tc>
          <w:tcPr>
            <w:tcW w:w="1815" w:type="dxa"/>
            <w:gridSpan w:val="2"/>
            <w:vAlign w:val="center"/>
          </w:tcPr>
          <w:p>
            <w:pPr>
              <w:rPr>
                <w:rFonts w:ascii="宋体" w:hAnsi="宋体" w:cs="宋体"/>
                <w:color w:val="000000"/>
                <w:sz w:val="32"/>
                <w:szCs w:val="32"/>
              </w:rPr>
            </w:pPr>
          </w:p>
        </w:tc>
      </w:tr>
      <w:tr>
        <w:trPr>
          <w:trHeight w:val="1080" w:hRule="atLeast"/>
        </w:trPr>
        <w:tc>
          <w:tcPr>
            <w:tcW w:w="14250" w:type="dxa"/>
            <w:gridSpan w:val="10"/>
            <w:vAlign w:val="center"/>
          </w:tcPr>
          <w:p>
            <w:pPr>
              <w:widowControl/>
              <w:jc w:val="center"/>
              <w:textAlignment w:val="center"/>
              <w:rPr>
                <w:rFonts w:ascii="方正小标宋简体" w:hAnsi="方正小标宋简体" w:eastAsia="方正小标宋简体" w:cs="方正小标宋简体"/>
                <w:color w:val="000000"/>
                <w:sz w:val="44"/>
                <w:szCs w:val="44"/>
              </w:rPr>
            </w:pPr>
            <w:bookmarkStart w:id="0" w:name="_GoBack"/>
            <w:bookmarkEnd w:id="0"/>
            <w:r>
              <w:rPr>
                <w:rFonts w:hint="eastAsia" w:ascii="方正小标宋_GBK" w:hAnsi="方正小标宋_GBK" w:eastAsia="方正小标宋_GBK" w:cs="方正小标宋_GBK"/>
                <w:color w:val="000000"/>
                <w:kern w:val="0"/>
                <w:sz w:val="44"/>
                <w:szCs w:val="44"/>
              </w:rPr>
              <w:t>不予处罚事项清单</w:t>
            </w:r>
          </w:p>
        </w:tc>
      </w:tr>
      <w:tr>
        <w:trPr>
          <w:trHeight w:val="286" w:hRule="atLeast"/>
        </w:trPr>
        <w:tc>
          <w:tcPr>
            <w:tcW w:w="3984" w:type="dxa"/>
            <w:gridSpan w:val="4"/>
            <w:vAlign w:val="center"/>
          </w:tcPr>
          <w:p>
            <w:pPr>
              <w:widowControl/>
              <w:jc w:val="left"/>
              <w:textAlignment w:val="center"/>
              <w:rPr>
                <w:rFonts w:hint="eastAsia" w:ascii="黑体" w:hAnsi="宋体" w:eastAsia="黑体"/>
                <w:color w:val="000000"/>
                <w:sz w:val="28"/>
                <w:szCs w:val="28"/>
                <w:lang w:eastAsia="zh-CN"/>
              </w:rPr>
            </w:pPr>
            <w:r>
              <w:rPr>
                <w:rFonts w:hint="eastAsia" w:ascii="黑体" w:hAnsi="宋体" w:eastAsia="黑体"/>
                <w:color w:val="000000"/>
                <w:kern w:val="0"/>
                <w:sz w:val="28"/>
                <w:szCs w:val="28"/>
              </w:rPr>
              <w:t>单位：</w:t>
            </w:r>
            <w:r>
              <w:rPr>
                <w:rFonts w:hint="eastAsia" w:ascii="黑体" w:hAnsi="宋体" w:eastAsia="黑体"/>
                <w:color w:val="000000"/>
                <w:kern w:val="0"/>
                <w:sz w:val="28"/>
                <w:szCs w:val="28"/>
                <w:lang w:eastAsia="zh-CN"/>
              </w:rPr>
              <w:t>四平市住房和城乡建设局</w:t>
            </w:r>
          </w:p>
        </w:tc>
        <w:tc>
          <w:tcPr>
            <w:tcW w:w="5812" w:type="dxa"/>
            <w:gridSpan w:val="3"/>
            <w:vAlign w:val="center"/>
          </w:tcPr>
          <w:p>
            <w:pPr>
              <w:rPr>
                <w:rFonts w:ascii="宋体" w:hAnsi="宋体" w:cs="宋体"/>
                <w:color w:val="000000"/>
                <w:sz w:val="24"/>
              </w:rPr>
            </w:pPr>
          </w:p>
        </w:tc>
        <w:tc>
          <w:tcPr>
            <w:tcW w:w="3260" w:type="dxa"/>
            <w:gridSpan w:val="2"/>
            <w:vAlign w:val="center"/>
          </w:tcPr>
          <w:p>
            <w:pPr>
              <w:rPr>
                <w:rFonts w:ascii="宋体" w:hAnsi="宋体" w:cs="宋体"/>
                <w:color w:val="000000"/>
                <w:sz w:val="24"/>
              </w:rPr>
            </w:pPr>
          </w:p>
        </w:tc>
        <w:tc>
          <w:tcPr>
            <w:tcW w:w="1194" w:type="dxa"/>
            <w:vAlign w:val="center"/>
          </w:tcPr>
          <w:p>
            <w:pPr>
              <w:rPr>
                <w:rFonts w:ascii="宋体" w:hAnsi="宋体" w:cs="宋体"/>
                <w:color w:val="000000"/>
                <w:sz w:val="24"/>
              </w:rPr>
            </w:pPr>
          </w:p>
        </w:tc>
      </w:tr>
      <w:tr>
        <w:trPr>
          <w:trHeight w:val="900" w:hRule="atLeast"/>
        </w:trPr>
        <w:tc>
          <w:tcPr>
            <w:tcW w:w="1008" w:type="dxa"/>
            <w:tcBorders>
              <w:top w:val="single" w:color="000000" w:sz="12" w:space="0"/>
              <w:left w:val="single" w:color="000000" w:sz="12" w:space="0"/>
              <w:bottom w:val="single" w:color="000000" w:sz="4" w:space="0"/>
              <w:right w:val="single" w:color="000000" w:sz="4" w:space="0"/>
            </w:tcBorders>
            <w:vAlign w:val="center"/>
          </w:tcPr>
          <w:p>
            <w:pPr>
              <w:widowControl/>
              <w:jc w:val="center"/>
              <w:textAlignment w:val="center"/>
              <w:rPr>
                <w:rFonts w:ascii="黑体" w:hAnsi="宋体" w:eastAsia="黑体"/>
                <w:color w:val="000000"/>
                <w:sz w:val="28"/>
                <w:szCs w:val="28"/>
              </w:rPr>
            </w:pPr>
            <w:r>
              <w:rPr>
                <w:rFonts w:hint="eastAsia" w:ascii="黑体" w:hAnsi="宋体" w:eastAsia="黑体"/>
                <w:color w:val="000000"/>
                <w:kern w:val="0"/>
                <w:sz w:val="28"/>
                <w:szCs w:val="28"/>
              </w:rPr>
              <w:t>序号</w:t>
            </w:r>
          </w:p>
        </w:tc>
        <w:tc>
          <w:tcPr>
            <w:tcW w:w="2976" w:type="dxa"/>
            <w:gridSpan w:val="3"/>
            <w:tcBorders>
              <w:top w:val="single" w:color="000000" w:sz="12" w:space="0"/>
              <w:left w:val="single" w:color="000000" w:sz="4" w:space="0"/>
              <w:bottom w:val="single" w:color="000000" w:sz="4" w:space="0"/>
              <w:right w:val="single" w:color="000000" w:sz="4" w:space="0"/>
            </w:tcBorders>
            <w:vAlign w:val="center"/>
          </w:tcPr>
          <w:p>
            <w:pPr>
              <w:widowControl/>
              <w:jc w:val="center"/>
              <w:textAlignment w:val="center"/>
              <w:rPr>
                <w:rFonts w:ascii="黑体" w:hAnsi="宋体" w:eastAsia="黑体"/>
                <w:color w:val="000000"/>
                <w:sz w:val="28"/>
                <w:szCs w:val="28"/>
              </w:rPr>
            </w:pPr>
            <w:r>
              <w:rPr>
                <w:rFonts w:hint="eastAsia" w:ascii="黑体" w:hAnsi="宋体" w:eastAsia="黑体"/>
                <w:color w:val="000000"/>
                <w:kern w:val="0"/>
                <w:sz w:val="28"/>
                <w:szCs w:val="28"/>
              </w:rPr>
              <w:t>处罚事项名称</w:t>
            </w:r>
          </w:p>
        </w:tc>
        <w:tc>
          <w:tcPr>
            <w:tcW w:w="1985" w:type="dxa"/>
            <w:tcBorders>
              <w:top w:val="single" w:color="000000" w:sz="12" w:space="0"/>
              <w:left w:val="single" w:color="000000" w:sz="4" w:space="0"/>
              <w:bottom w:val="single" w:color="000000" w:sz="4" w:space="0"/>
              <w:right w:val="single" w:color="auto" w:sz="4" w:space="0"/>
            </w:tcBorders>
            <w:vAlign w:val="center"/>
          </w:tcPr>
          <w:p>
            <w:pPr>
              <w:widowControl/>
              <w:jc w:val="center"/>
              <w:textAlignment w:val="center"/>
              <w:rPr>
                <w:rFonts w:ascii="黑体" w:hAnsi="宋体" w:eastAsia="黑体"/>
                <w:color w:val="000000"/>
                <w:sz w:val="28"/>
                <w:szCs w:val="28"/>
              </w:rPr>
            </w:pPr>
            <w:r>
              <w:rPr>
                <w:rFonts w:hint="eastAsia" w:ascii="黑体" w:hAnsi="宋体" w:eastAsia="黑体"/>
                <w:color w:val="000000"/>
                <w:sz w:val="28"/>
                <w:szCs w:val="28"/>
              </w:rPr>
              <w:t>实施机关</w:t>
            </w:r>
          </w:p>
        </w:tc>
        <w:tc>
          <w:tcPr>
            <w:tcW w:w="3827" w:type="dxa"/>
            <w:gridSpan w:val="2"/>
            <w:tcBorders>
              <w:top w:val="single" w:color="000000" w:sz="12" w:space="0"/>
              <w:left w:val="single" w:color="auto" w:sz="4" w:space="0"/>
              <w:bottom w:val="single" w:color="000000" w:sz="4" w:space="0"/>
              <w:right w:val="single" w:color="000000" w:sz="4" w:space="0"/>
            </w:tcBorders>
            <w:vAlign w:val="center"/>
          </w:tcPr>
          <w:p>
            <w:pPr>
              <w:jc w:val="center"/>
              <w:textAlignment w:val="center"/>
              <w:rPr>
                <w:rFonts w:ascii="黑体" w:hAnsi="宋体" w:eastAsia="黑体"/>
                <w:color w:val="000000"/>
                <w:sz w:val="28"/>
                <w:szCs w:val="28"/>
              </w:rPr>
            </w:pPr>
            <w:r>
              <w:rPr>
                <w:rFonts w:hint="eastAsia" w:ascii="黑体" w:hAnsi="宋体" w:eastAsia="黑体"/>
                <w:color w:val="000000"/>
                <w:kern w:val="0"/>
                <w:sz w:val="28"/>
                <w:szCs w:val="28"/>
              </w:rPr>
              <w:t>不予处罚的情形</w:t>
            </w:r>
          </w:p>
        </w:tc>
        <w:tc>
          <w:tcPr>
            <w:tcW w:w="3260" w:type="dxa"/>
            <w:gridSpan w:val="2"/>
            <w:tcBorders>
              <w:top w:val="single" w:color="000000" w:sz="12" w:space="0"/>
              <w:left w:val="single" w:color="000000" w:sz="4" w:space="0"/>
              <w:bottom w:val="single" w:color="000000" w:sz="4" w:space="0"/>
              <w:right w:val="single" w:color="000000" w:sz="4" w:space="0"/>
            </w:tcBorders>
            <w:vAlign w:val="center"/>
          </w:tcPr>
          <w:p>
            <w:pPr>
              <w:widowControl/>
              <w:jc w:val="center"/>
              <w:textAlignment w:val="center"/>
              <w:rPr>
                <w:rFonts w:ascii="黑体" w:hAnsi="宋体" w:eastAsia="黑体"/>
                <w:color w:val="000000"/>
                <w:sz w:val="28"/>
                <w:szCs w:val="28"/>
              </w:rPr>
            </w:pPr>
            <w:r>
              <w:rPr>
                <w:rFonts w:hint="eastAsia" w:ascii="黑体" w:hAnsi="宋体" w:eastAsia="黑体"/>
                <w:color w:val="000000"/>
                <w:kern w:val="0"/>
                <w:sz w:val="28"/>
                <w:szCs w:val="28"/>
              </w:rPr>
              <w:t>不予处罚的依据</w:t>
            </w:r>
          </w:p>
        </w:tc>
        <w:tc>
          <w:tcPr>
            <w:tcW w:w="1194" w:type="dxa"/>
            <w:tcBorders>
              <w:top w:val="single" w:color="000000" w:sz="12" w:space="0"/>
              <w:left w:val="single" w:color="000000" w:sz="4" w:space="0"/>
              <w:bottom w:val="single" w:color="000000" w:sz="4" w:space="0"/>
              <w:right w:val="single" w:color="000000" w:sz="12" w:space="0"/>
            </w:tcBorders>
            <w:vAlign w:val="center"/>
          </w:tcPr>
          <w:p>
            <w:pPr>
              <w:widowControl/>
              <w:jc w:val="center"/>
              <w:textAlignment w:val="center"/>
              <w:rPr>
                <w:rFonts w:ascii="黑体" w:hAnsi="宋体" w:eastAsia="黑体"/>
                <w:color w:val="000000"/>
                <w:sz w:val="28"/>
                <w:szCs w:val="28"/>
              </w:rPr>
            </w:pPr>
            <w:r>
              <w:rPr>
                <w:rFonts w:hint="eastAsia" w:ascii="黑体" w:hAnsi="宋体" w:eastAsia="黑体"/>
                <w:color w:val="000000"/>
                <w:kern w:val="0"/>
                <w:sz w:val="28"/>
                <w:szCs w:val="28"/>
              </w:rPr>
              <w:t>备注</w:t>
            </w:r>
          </w:p>
        </w:tc>
      </w:tr>
      <w:tr>
        <w:trPr>
          <w:trHeight w:val="1490" w:hRule="atLeast"/>
        </w:trPr>
        <w:tc>
          <w:tcPr>
            <w:tcW w:w="1008" w:type="dxa"/>
            <w:tcBorders>
              <w:top w:val="single" w:color="000000" w:sz="4" w:space="0"/>
              <w:left w:val="single" w:color="000000" w:sz="12" w:space="0"/>
              <w:bottom w:val="single" w:color="000000" w:sz="4" w:space="0"/>
              <w:right w:val="single" w:color="000000" w:sz="4" w:space="0"/>
            </w:tcBorders>
            <w:vAlign w:val="center"/>
          </w:tcPr>
          <w:p>
            <w:pPr>
              <w:jc w:val="center"/>
              <w:rPr>
                <w:rFonts w:hint="default" w:ascii="Times New Roman" w:hAnsi="Times New Roman" w:eastAsia="仿宋_GB2312" w:cs="Times New Roman"/>
                <w:color w:val="000000"/>
                <w:sz w:val="24"/>
                <w:lang w:val="en-US" w:eastAsia="zh-CN"/>
              </w:rPr>
            </w:pPr>
            <w:r>
              <w:rPr>
                <w:rFonts w:hint="default" w:ascii="Times New Roman" w:hAnsi="Times New Roman" w:eastAsia="仿宋_GB2312" w:cs="Times New Roman"/>
                <w:color w:val="000000"/>
                <w:sz w:val="24"/>
                <w:lang w:val="en-US" w:eastAsia="zh-CN"/>
              </w:rPr>
              <w:t>1</w:t>
            </w:r>
          </w:p>
        </w:tc>
        <w:tc>
          <w:tcPr>
            <w:tcW w:w="2976" w:type="dxa"/>
            <w:gridSpan w:val="3"/>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color w:val="000000"/>
                <w:sz w:val="24"/>
              </w:rPr>
            </w:pPr>
            <w:r>
              <w:rPr>
                <w:rFonts w:hint="default" w:ascii="Times New Roman" w:hAnsi="Times New Roman" w:eastAsia="仿宋_GB2312" w:cs="Times New Roman"/>
                <w:i w:val="0"/>
                <w:caps w:val="0"/>
                <w:color w:val="333333"/>
                <w:spacing w:val="0"/>
                <w:sz w:val="21"/>
                <w:szCs w:val="21"/>
                <w:shd w:val="clear" w:color="auto" w:fill="FFFFFF"/>
                <w:lang w:eastAsia="zh-CN"/>
              </w:rPr>
              <w:t>对</w:t>
            </w:r>
            <w:r>
              <w:rPr>
                <w:rFonts w:hint="default" w:ascii="Times New Roman" w:hAnsi="Times New Roman" w:eastAsia="仿宋_GB2312" w:cs="Times New Roman"/>
                <w:i w:val="0"/>
                <w:caps w:val="0"/>
                <w:color w:val="333333"/>
                <w:spacing w:val="0"/>
                <w:sz w:val="21"/>
                <w:szCs w:val="21"/>
                <w:shd w:val="clear" w:color="auto" w:fill="FFFFFF"/>
              </w:rPr>
              <w:t>排水单位或者个人不缴纳污水处理费的</w:t>
            </w:r>
            <w:r>
              <w:rPr>
                <w:rFonts w:hint="default" w:ascii="Times New Roman" w:hAnsi="Times New Roman" w:eastAsia="仿宋_GB2312" w:cs="Times New Roman"/>
                <w:i w:val="0"/>
                <w:caps w:val="0"/>
                <w:color w:val="333333"/>
                <w:spacing w:val="0"/>
                <w:sz w:val="21"/>
                <w:szCs w:val="21"/>
                <w:shd w:val="clear" w:color="auto" w:fill="FFFFFF"/>
                <w:lang w:eastAsia="zh-CN"/>
              </w:rPr>
              <w:t>处罚</w:t>
            </w:r>
          </w:p>
        </w:tc>
        <w:tc>
          <w:tcPr>
            <w:tcW w:w="1985" w:type="dxa"/>
            <w:tcBorders>
              <w:top w:val="single" w:color="000000" w:sz="4" w:space="0"/>
              <w:left w:val="single" w:color="000000" w:sz="4" w:space="0"/>
              <w:bottom w:val="single" w:color="000000" w:sz="4" w:space="0"/>
              <w:right w:val="single" w:color="auto" w:sz="4" w:space="0"/>
            </w:tcBorders>
            <w:vAlign w:val="center"/>
          </w:tcPr>
          <w:p>
            <w:pPr>
              <w:jc w:val="center"/>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lang w:eastAsia="zh-CN"/>
              </w:rPr>
              <w:t>四平市住房和城乡建设局</w:t>
            </w:r>
          </w:p>
        </w:tc>
        <w:tc>
          <w:tcPr>
            <w:tcW w:w="3827" w:type="dxa"/>
            <w:gridSpan w:val="2"/>
            <w:tcBorders>
              <w:top w:val="single" w:color="000000" w:sz="4" w:space="0"/>
              <w:left w:val="single" w:color="auto" w:sz="4" w:space="0"/>
              <w:bottom w:val="single" w:color="000000" w:sz="4" w:space="0"/>
              <w:right w:val="single" w:color="000000" w:sz="4" w:space="0"/>
            </w:tcBorders>
            <w:vAlign w:val="center"/>
          </w:tcPr>
          <w:p>
            <w:pPr>
              <w:jc w:val="center"/>
              <w:rPr>
                <w:rFonts w:hint="default" w:ascii="Times New Roman" w:hAnsi="Times New Roman" w:eastAsia="仿宋_GB2312" w:cs="Times New Roman"/>
                <w:color w:val="000000"/>
                <w:sz w:val="24"/>
                <w:lang w:eastAsia="zh-CN"/>
              </w:rPr>
            </w:pPr>
            <w:r>
              <w:rPr>
                <w:rFonts w:hint="default" w:ascii="Times New Roman" w:hAnsi="Times New Roman" w:eastAsia="仿宋_GB2312" w:cs="Times New Roman"/>
                <w:color w:val="000000"/>
                <w:sz w:val="24"/>
                <w:lang w:eastAsia="zh-CN"/>
              </w:rPr>
              <w:t>限期内缴纳的</w:t>
            </w:r>
          </w:p>
        </w:tc>
        <w:tc>
          <w:tcPr>
            <w:tcW w:w="3260"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《城镇排水与污水处理条例》（国务院令第641号）第五十四条</w:t>
            </w:r>
          </w:p>
        </w:tc>
        <w:tc>
          <w:tcPr>
            <w:tcW w:w="1194" w:type="dxa"/>
            <w:tcBorders>
              <w:top w:val="single" w:color="000000" w:sz="4" w:space="0"/>
              <w:left w:val="single" w:color="000000" w:sz="4" w:space="0"/>
              <w:bottom w:val="single" w:color="000000" w:sz="4" w:space="0"/>
              <w:right w:val="single" w:color="000000" w:sz="12" w:space="0"/>
            </w:tcBorders>
            <w:vAlign w:val="center"/>
          </w:tcPr>
          <w:p>
            <w:pPr>
              <w:jc w:val="center"/>
              <w:rPr>
                <w:rFonts w:hint="default" w:ascii="Times New Roman" w:hAnsi="Times New Roman" w:eastAsia="仿宋_GB2312" w:cs="Times New Roman"/>
                <w:color w:val="000000"/>
                <w:sz w:val="24"/>
              </w:rPr>
            </w:pPr>
          </w:p>
        </w:tc>
      </w:tr>
      <w:tr>
        <w:trPr>
          <w:trHeight w:val="3276" w:hRule="atLeast"/>
        </w:trPr>
        <w:tc>
          <w:tcPr>
            <w:tcW w:w="1008" w:type="dxa"/>
            <w:tcBorders>
              <w:top w:val="single" w:color="000000" w:sz="4" w:space="0"/>
              <w:left w:val="single" w:color="000000" w:sz="12" w:space="0"/>
              <w:bottom w:val="single" w:color="000000" w:sz="4" w:space="0"/>
              <w:right w:val="single" w:color="000000" w:sz="4" w:space="0"/>
            </w:tcBorders>
            <w:vAlign w:val="center"/>
          </w:tcPr>
          <w:p>
            <w:pPr>
              <w:jc w:val="center"/>
              <w:rPr>
                <w:rFonts w:hint="default" w:ascii="Times New Roman" w:hAnsi="Times New Roman" w:eastAsia="仿宋_GB2312" w:cs="Times New Roman"/>
                <w:color w:val="000000"/>
                <w:sz w:val="24"/>
                <w:lang w:val="en-US" w:eastAsia="zh-CN"/>
              </w:rPr>
            </w:pPr>
            <w:r>
              <w:rPr>
                <w:rFonts w:hint="default" w:ascii="Times New Roman" w:hAnsi="Times New Roman" w:eastAsia="仿宋_GB2312" w:cs="Times New Roman"/>
                <w:color w:val="000000"/>
                <w:sz w:val="24"/>
                <w:lang w:val="en-US" w:eastAsia="zh-CN"/>
              </w:rPr>
              <w:t>2</w:t>
            </w:r>
          </w:p>
        </w:tc>
        <w:tc>
          <w:tcPr>
            <w:tcW w:w="2976" w:type="dxa"/>
            <w:gridSpan w:val="3"/>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对未按规定使用商品房预售款的处罚</w:t>
            </w:r>
          </w:p>
        </w:tc>
        <w:tc>
          <w:tcPr>
            <w:tcW w:w="1985" w:type="dxa"/>
            <w:tcBorders>
              <w:top w:val="single" w:color="000000" w:sz="4" w:space="0"/>
              <w:left w:val="single" w:color="000000" w:sz="4" w:space="0"/>
              <w:bottom w:val="single" w:color="000000" w:sz="4" w:space="0"/>
              <w:right w:val="single" w:color="auto" w:sz="4" w:space="0"/>
            </w:tcBorders>
            <w:vAlign w:val="center"/>
          </w:tcPr>
          <w:p>
            <w:pPr>
              <w:jc w:val="center"/>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lang w:eastAsia="zh-CN"/>
              </w:rPr>
              <w:t>四平市住房和城乡建设局</w:t>
            </w:r>
          </w:p>
        </w:tc>
        <w:tc>
          <w:tcPr>
            <w:tcW w:w="3827" w:type="dxa"/>
            <w:gridSpan w:val="2"/>
            <w:tcBorders>
              <w:top w:val="single" w:color="000000" w:sz="4" w:space="0"/>
              <w:left w:val="single" w:color="auto" w:sz="4" w:space="0"/>
              <w:bottom w:val="single" w:color="000000" w:sz="4" w:space="0"/>
              <w:right w:val="single" w:color="000000" w:sz="4" w:space="0"/>
            </w:tcBorders>
            <w:vAlign w:val="center"/>
          </w:tcPr>
          <w:p>
            <w:pPr>
              <w:jc w:val="center"/>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违法使用商品房预收款5000元以下，限期内改正的。</w:t>
            </w:r>
          </w:p>
        </w:tc>
        <w:tc>
          <w:tcPr>
            <w:tcW w:w="3260"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《城市商品房预售管理办法》(建设部令第131号，2004年7月20日建设部修正)第十四条：开发企业不按规定使用商品房预售款项的，由房地产管理部门责令限期纠正，并可处以违法所得3倍以下但不超过3万元的罚款</w:t>
            </w:r>
          </w:p>
        </w:tc>
        <w:tc>
          <w:tcPr>
            <w:tcW w:w="1194" w:type="dxa"/>
            <w:tcBorders>
              <w:top w:val="single" w:color="000000" w:sz="4" w:space="0"/>
              <w:left w:val="single" w:color="000000" w:sz="4" w:space="0"/>
              <w:bottom w:val="single" w:color="000000" w:sz="4" w:space="0"/>
              <w:right w:val="single" w:color="000000" w:sz="12" w:space="0"/>
            </w:tcBorders>
            <w:vAlign w:val="center"/>
          </w:tcPr>
          <w:p>
            <w:pPr>
              <w:tabs>
                <w:tab w:val="left" w:pos="536"/>
              </w:tabs>
              <w:jc w:val="center"/>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lang w:eastAsia="zh-CN"/>
              </w:rPr>
              <w:t>免于罚款。</w:t>
            </w:r>
          </w:p>
        </w:tc>
      </w:tr>
      <w:tr>
        <w:trPr>
          <w:trHeight w:val="690" w:hRule="atLeast"/>
        </w:trPr>
        <w:tc>
          <w:tcPr>
            <w:tcW w:w="1008" w:type="dxa"/>
            <w:tcBorders>
              <w:top w:val="single" w:color="000000" w:sz="4" w:space="0"/>
              <w:left w:val="single" w:color="000000" w:sz="12" w:space="0"/>
              <w:bottom w:val="single" w:color="000000" w:sz="4" w:space="0"/>
              <w:right w:val="single" w:color="000000" w:sz="4" w:space="0"/>
            </w:tcBorders>
            <w:vAlign w:val="center"/>
          </w:tcPr>
          <w:p>
            <w:pPr>
              <w:jc w:val="center"/>
              <w:rPr>
                <w:rFonts w:hint="default" w:ascii="Times New Roman" w:hAnsi="Times New Roman" w:eastAsia="仿宋_GB2312" w:cs="Times New Roman"/>
                <w:color w:val="000000"/>
                <w:sz w:val="24"/>
                <w:lang w:val="en-US" w:eastAsia="zh-CN"/>
              </w:rPr>
            </w:pPr>
            <w:r>
              <w:rPr>
                <w:rFonts w:hint="default" w:ascii="Times New Roman" w:hAnsi="Times New Roman" w:eastAsia="仿宋_GB2312" w:cs="Times New Roman"/>
                <w:color w:val="000000"/>
                <w:sz w:val="24"/>
                <w:lang w:val="en-US" w:eastAsia="zh-CN"/>
              </w:rPr>
              <w:t>3</w:t>
            </w:r>
          </w:p>
        </w:tc>
        <w:tc>
          <w:tcPr>
            <w:tcW w:w="2976" w:type="dxa"/>
            <w:gridSpan w:val="3"/>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对单位、个人没有在房屋租赁合同订立后30日内，到租赁房屋所在地人民政府建设（房地产）主管部门办理房屋租赁登记备案行为的处罚</w:t>
            </w:r>
          </w:p>
        </w:tc>
        <w:tc>
          <w:tcPr>
            <w:tcW w:w="1985" w:type="dxa"/>
            <w:tcBorders>
              <w:top w:val="single" w:color="000000" w:sz="4" w:space="0"/>
              <w:left w:val="single" w:color="000000" w:sz="4" w:space="0"/>
              <w:bottom w:val="single" w:color="000000" w:sz="4" w:space="0"/>
              <w:right w:val="single" w:color="auto" w:sz="4" w:space="0"/>
            </w:tcBorders>
            <w:vAlign w:val="center"/>
          </w:tcPr>
          <w:p>
            <w:pPr>
              <w:jc w:val="center"/>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lang w:eastAsia="zh-CN"/>
              </w:rPr>
              <w:t>四平市住房和城乡建设局</w:t>
            </w:r>
          </w:p>
        </w:tc>
        <w:tc>
          <w:tcPr>
            <w:tcW w:w="3827" w:type="dxa"/>
            <w:gridSpan w:val="2"/>
            <w:tcBorders>
              <w:top w:val="single" w:color="000000" w:sz="4" w:space="0"/>
              <w:left w:val="single" w:color="auto" w:sz="4" w:space="0"/>
              <w:bottom w:val="single" w:color="000000" w:sz="4" w:space="0"/>
              <w:right w:val="single" w:color="000000" w:sz="4" w:space="0"/>
            </w:tcBorders>
            <w:vAlign w:val="center"/>
          </w:tcPr>
          <w:p>
            <w:pPr>
              <w:jc w:val="center"/>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房屋租赁合同订立30日内，仍未办理备案，限期改正的。</w:t>
            </w:r>
          </w:p>
        </w:tc>
        <w:tc>
          <w:tcPr>
            <w:tcW w:w="3260" w:type="dxa"/>
            <w:gridSpan w:val="2"/>
            <w:tcBorders>
              <w:top w:val="single" w:color="000000" w:sz="4" w:space="0"/>
              <w:left w:val="single" w:color="000000" w:sz="4" w:space="0"/>
              <w:bottom w:val="single" w:color="000000" w:sz="4" w:space="0"/>
              <w:right w:val="single" w:color="000000" w:sz="4" w:space="0"/>
            </w:tcBorders>
            <w:vAlign w:val="center"/>
          </w:tcPr>
          <w:p>
            <w:pPr>
              <w:tabs>
                <w:tab w:val="left" w:pos="757"/>
              </w:tabs>
              <w:jc w:val="center"/>
              <w:rPr>
                <w:rFonts w:hint="default" w:ascii="Times New Roman" w:hAnsi="Times New Roman" w:eastAsia="仿宋_GB2312" w:cs="Times New Roman"/>
                <w:color w:val="000000"/>
                <w:sz w:val="24"/>
                <w:lang w:eastAsia="zh-CN"/>
              </w:rPr>
            </w:pPr>
            <w:r>
              <w:rPr>
                <w:rFonts w:hint="default" w:ascii="Times New Roman" w:hAnsi="Times New Roman" w:eastAsia="仿宋_GB2312" w:cs="Times New Roman"/>
                <w:color w:val="000000"/>
                <w:sz w:val="24"/>
                <w:lang w:eastAsia="zh-CN"/>
              </w:rPr>
              <w:t>《商品房屋租赁管理办法》（住建部令第6号）第四条：国务院住房和城乡建设主管部门负责全国房屋租赁的指导和监督工作。县级以上地方人民政府建设（房地产）主管部门负责本行政区域内房屋租赁的监督管理。</w:t>
            </w:r>
          </w:p>
          <w:p>
            <w:pPr>
              <w:tabs>
                <w:tab w:val="left" w:pos="757"/>
              </w:tabs>
              <w:jc w:val="center"/>
              <w:rPr>
                <w:rFonts w:hint="default" w:ascii="Times New Roman" w:hAnsi="Times New Roman" w:eastAsia="仿宋_GB2312" w:cs="Times New Roman"/>
                <w:color w:val="000000"/>
                <w:sz w:val="24"/>
                <w:lang w:eastAsia="zh-CN"/>
              </w:rPr>
            </w:pPr>
            <w:r>
              <w:rPr>
                <w:rFonts w:hint="default" w:ascii="Times New Roman" w:hAnsi="Times New Roman" w:eastAsia="仿宋_GB2312" w:cs="Times New Roman"/>
                <w:color w:val="000000"/>
                <w:sz w:val="24"/>
                <w:lang w:eastAsia="zh-CN"/>
              </w:rPr>
              <w:t>第十四条：房屋租赁合同订立后三十日内，房屋租赁当事人应当到租赁房屋所在地直辖市、市、县人民政府建设（房地产）主管部门办理房屋租赁登记备案。房屋租赁当事人可以书面委托他人办理租赁登记备案。</w:t>
            </w:r>
          </w:p>
          <w:p>
            <w:pPr>
              <w:tabs>
                <w:tab w:val="left" w:pos="757"/>
              </w:tabs>
              <w:jc w:val="center"/>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lang w:eastAsia="zh-CN"/>
              </w:rPr>
              <w:t>第二十三条：违反本办法第十四条第一款、第十九条规定的，由直辖市、市、县人民政府建设（房地产）主管部门责令限期改正；个人逾期不改正的，处以一千元以下罚款；单位逾期不改正的，处以一千元以上一万元以下罚款。</w:t>
            </w:r>
          </w:p>
        </w:tc>
        <w:tc>
          <w:tcPr>
            <w:tcW w:w="1194" w:type="dxa"/>
            <w:tcBorders>
              <w:top w:val="single" w:color="000000" w:sz="4" w:space="0"/>
              <w:left w:val="single" w:color="000000" w:sz="4" w:space="0"/>
              <w:bottom w:val="single" w:color="000000" w:sz="4" w:space="0"/>
              <w:right w:val="single" w:color="000000" w:sz="12" w:space="0"/>
            </w:tcBorders>
            <w:vAlign w:val="center"/>
          </w:tcPr>
          <w:p>
            <w:pPr>
              <w:jc w:val="center"/>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免于处罚</w:t>
            </w:r>
          </w:p>
        </w:tc>
      </w:tr>
    </w:tbl>
    <w:p>
      <w:pPr>
        <w:jc w:val="center"/>
        <w:rPr>
          <w:rFonts w:hint="default" w:ascii="Times New Roman" w:hAnsi="Times New Roman" w:eastAsia="仿宋_GB2312" w:cs="Times New Roman"/>
        </w:rPr>
      </w:pPr>
    </w:p>
    <w:sectPr>
      <w:pgSz w:w="16838" w:h="11906" w:orient="landscape"/>
      <w:pgMar w:top="1800" w:right="1440" w:bottom="1800" w:left="1440" w:header="851" w:footer="992" w:gutter="0"/>
      <w:cols w:space="720" w:num="1"/>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Tahoma">
    <w:panose1 w:val="020B0604030504040204"/>
    <w:charset w:val="00"/>
    <w:family w:val="auto"/>
    <w:pitch w:val="default"/>
    <w:sig w:usb0="61007A87" w:usb1="80000000" w:usb2="00000008" w:usb3="00000000" w:csb0="200101FF" w:csb1="20280000"/>
  </w:font>
  <w:font w:name="Symbol">
    <w:panose1 w:val="05050102010706020507"/>
    <w:charset w:val="02"/>
    <w:family w:val="roman"/>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Wingdings">
    <w:panose1 w:val="05000000000000000000"/>
    <w:charset w:val="02"/>
    <w:family w:val="auto"/>
    <w:pitch w:val="default"/>
    <w:sig w:usb0="00000000" w:usb1="00000000" w:usb2="00000000" w:usb3="00000000" w:csb0="80000000" w:csb1="00000000"/>
  </w:font>
  <w:font w:name="微软雅黑">
    <w:altName w:val="黑体"/>
    <w:panose1 w:val="020B0503020204020204"/>
    <w:charset w:val="86"/>
    <w:family w:val="auto"/>
    <w:pitch w:val="default"/>
    <w:sig w:usb0="80000287" w:usb1="280F3C52" w:usb2="00000016" w:usb3="00000000" w:csb0="0004001F" w:csb1="00000000"/>
  </w:font>
  <w:font w:name="Calibri">
    <w:altName w:val="Lucida Sans"/>
    <w:panose1 w:val="020F0502020204030204"/>
    <w:charset w:val="00"/>
    <w:family w:val="auto"/>
    <w:pitch w:val="default"/>
    <w:sig w:usb0="E00002FF" w:usb1="4000ACFF" w:usb2="00000001" w:usb3="00000000" w:csb0="2000019F" w:csb1="00000000"/>
  </w:font>
  <w:font w:name="方正小标宋简体">
    <w:altName w:val="宋体"/>
    <w:panose1 w:val="03000509000000000000"/>
    <w:charset w:val="86"/>
    <w:family w:val="auto"/>
    <w:pitch w:val="default"/>
    <w:sig w:usb0="00000000" w:usb1="00000000" w:usb2="00000010" w:usb3="00000000" w:csb0="00040000" w:csb1="00000000"/>
  </w:font>
  <w:font w:name="Arial Unicode MS">
    <w:altName w:val="宋体"/>
    <w:panose1 w:val="020B0604020202020204"/>
    <w:charset w:val="86"/>
    <w:family w:val="auto"/>
    <w:pitch w:val="default"/>
    <w:sig w:usb0="FFFFFFFF" w:usb1="E9FFFFFF" w:usb2="0000003F" w:usb3="00000000" w:csb0="603F01FF" w:csb1="FFFF0000"/>
  </w:font>
  <w:font w:name="Lucida Sans">
    <w:panose1 w:val="020B0602030504020204"/>
    <w:charset w:val="00"/>
    <w:family w:val="auto"/>
    <w:pitch w:val="default"/>
    <w:sig w:usb0="00000000" w:usb1="00000000" w:usb2="00000000" w:usb3="00000000" w:csb0="00000000"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annotation subject"/>
    <w:lsdException w:unhideWhenUsed="0" w:uiPriority="0" w:semiHidden="0" w:name="Balloon Text"/>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4">
    <w:name w:val="Default Paragraph Font"/>
    <w:semiHidden/>
    <w:uiPriority w:val="0"/>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 专业版_9.1.0.4337_{F1E327BC-269C-435d-A152-05C5408002CA}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2020-11-11T01:20:00Z</dcterms:created>
  <dc:creator>李琪</dc:creator>
  <cp:lastModifiedBy>Administrator</cp:lastModifiedBy>
  <cp:lastPrinted>2020-11-19T09:04:58Z</cp:lastPrinted>
  <dcterms:modified xsi:type="dcterms:W3CDTF">2020-11-19T09:05:13Z</dcterms:modified>
  <dc:title>附件1：</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2052-9.1.0.4337</vt:lpwstr>
  </property>
</Properties>
</file>